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F3" w:rsidRDefault="00281946" w:rsidP="007201F3">
      <w:pPr>
        <w:spacing w:after="24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B2F77">
        <w:rPr>
          <w:rFonts w:ascii="Arial" w:hAnsi="Arial" w:cs="Arial"/>
          <w:sz w:val="24"/>
          <w:szCs w:val="24"/>
        </w:rPr>
        <w:t xml:space="preserve">      </w:t>
      </w:r>
      <w:r w:rsidR="00CB2F77" w:rsidRPr="00CB2F77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1619250" cy="704850"/>
            <wp:effectExtent l="19050" t="0" r="0" b="0"/>
            <wp:docPr id="15" name="Immagine 7" descr="C:\Users\ACAPOR~1\AppData\Local\Temp\notesE1EF34\~b801729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82735B2-52BA-47A5-99CC-9EC31A67F66C" descr="C:\Users\ACAPOR~1\AppData\Local\Temp\notesE1EF34\~b801729.TMP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180" cy="7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</w:t>
      </w:r>
      <w:r w:rsidR="00553F88">
        <w:rPr>
          <w:rFonts w:ascii="Arial" w:hAnsi="Arial" w:cs="Arial"/>
          <w:sz w:val="24"/>
          <w:szCs w:val="24"/>
        </w:rPr>
        <w:tab/>
      </w:r>
      <w:r w:rsidR="00553F88">
        <w:rPr>
          <w:rFonts w:ascii="Arial" w:hAnsi="Arial" w:cs="Arial"/>
          <w:sz w:val="24"/>
          <w:szCs w:val="24"/>
        </w:rPr>
        <w:tab/>
      </w:r>
      <w:r w:rsidR="00CB2F77">
        <w:rPr>
          <w:rFonts w:ascii="Arial" w:hAnsi="Arial" w:cs="Arial"/>
          <w:sz w:val="24"/>
          <w:szCs w:val="24"/>
        </w:rPr>
        <w:t xml:space="preserve">     </w:t>
      </w:r>
      <w:r w:rsidR="00553F88">
        <w:rPr>
          <w:rFonts w:ascii="Arial" w:hAnsi="Arial" w:cs="Arial"/>
          <w:sz w:val="24"/>
          <w:szCs w:val="24"/>
        </w:rPr>
        <w:tab/>
      </w:r>
      <w:r w:rsidR="00CB2F77">
        <w:rPr>
          <w:rFonts w:ascii="Arial" w:hAnsi="Arial" w:cs="Arial"/>
          <w:sz w:val="24"/>
          <w:szCs w:val="24"/>
        </w:rPr>
        <w:t xml:space="preserve">               </w:t>
      </w:r>
      <w:r w:rsidR="007201F3" w:rsidRPr="00814008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1562100" cy="729293"/>
            <wp:effectExtent l="19050" t="0" r="0" b="0"/>
            <wp:docPr id="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951" cy="729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F88" w:rsidRPr="007201F3" w:rsidRDefault="00553F88" w:rsidP="00705D0F">
      <w:pPr>
        <w:spacing w:after="120"/>
        <w:ind w:firstLine="0"/>
        <w:rPr>
          <w:rFonts w:ascii="Arial" w:hAnsi="Arial" w:cs="Arial"/>
          <w:sz w:val="24"/>
          <w:szCs w:val="24"/>
        </w:rPr>
      </w:pPr>
      <w:r w:rsidRPr="00323710">
        <w:rPr>
          <w:rFonts w:ascii="Arial" w:hAnsi="Arial"/>
          <w:sz w:val="24"/>
        </w:rPr>
        <w:t xml:space="preserve">CONFINDUSTRIA-SRM: CHECK-UP MEZZOGIORNO, SETTIMO ANNO </w:t>
      </w:r>
      <w:proofErr w:type="spellStart"/>
      <w:r w:rsidRPr="00323710">
        <w:rPr>
          <w:rFonts w:ascii="Arial" w:hAnsi="Arial"/>
          <w:sz w:val="24"/>
        </w:rPr>
        <w:t>DI</w:t>
      </w:r>
      <w:proofErr w:type="spellEnd"/>
      <w:r w:rsidRPr="00323710">
        <w:rPr>
          <w:rFonts w:ascii="Arial" w:hAnsi="Arial"/>
          <w:sz w:val="24"/>
        </w:rPr>
        <w:t xml:space="preserve"> CRISI </w:t>
      </w:r>
    </w:p>
    <w:p w:rsidR="00553F88" w:rsidRDefault="00DF6DBC" w:rsidP="00553F88">
      <w:pPr>
        <w:spacing w:after="120"/>
        <w:ind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>Motori al minimo, ma Sud ricco di risorse e potenzialità:</w:t>
      </w:r>
      <w:r w:rsidR="00553F88" w:rsidRPr="0032371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</w:t>
      </w:r>
      <w:r w:rsidR="00553F88" w:rsidRPr="00323710">
        <w:rPr>
          <w:rFonts w:ascii="Arial" w:hAnsi="Arial"/>
          <w:sz w:val="24"/>
        </w:rPr>
        <w:t xml:space="preserve">er la ripresa recuperare la fiducia e rilanciare gli investimenti </w:t>
      </w:r>
    </w:p>
    <w:p w:rsidR="00553F88" w:rsidRPr="004236CA" w:rsidRDefault="00553F88" w:rsidP="00553F88">
      <w:pPr>
        <w:spacing w:after="240"/>
        <w:ind w:firstLine="0"/>
        <w:rPr>
          <w:rFonts w:ascii="Arial" w:hAnsi="Arial"/>
          <w:b/>
          <w:sz w:val="24"/>
        </w:rPr>
      </w:pPr>
      <w:r w:rsidRPr="004236CA">
        <w:rPr>
          <w:rFonts w:ascii="Arial" w:hAnsi="Arial"/>
          <w:b/>
          <w:sz w:val="24"/>
        </w:rPr>
        <w:t>Oltre 40 mila imprese in meno; investimenti in calo di oltre 29 miliardi di euro; quasi 700 mila posti di lavoro perduti; 125 mila lavoratori in Cassa Integrazione; quasi una persona su due ha rinunciato a cercare un lavoro regolare; PIL in calo di oltre 51 miliardi di euro</w:t>
      </w:r>
      <w:r>
        <w:rPr>
          <w:rFonts w:ascii="Arial" w:hAnsi="Arial"/>
          <w:b/>
          <w:sz w:val="24"/>
        </w:rPr>
        <w:t>.</w:t>
      </w:r>
      <w:r w:rsidRPr="004236CA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Q</w:t>
      </w:r>
      <w:r w:rsidRPr="004236CA">
        <w:rPr>
          <w:rFonts w:ascii="Arial" w:hAnsi="Arial"/>
          <w:b/>
          <w:sz w:val="24"/>
        </w:rPr>
        <w:t>uesto il bilancio di sette anni di crisi secondo il Check-up Mezzogiorno, elaborato da Confindustria e SRM per fare il punto sullo stato di salute dell’economia meridionale</w:t>
      </w:r>
      <w:r>
        <w:rPr>
          <w:rFonts w:ascii="Arial" w:hAnsi="Arial"/>
          <w:b/>
          <w:sz w:val="24"/>
        </w:rPr>
        <w:t>.</w:t>
      </w:r>
    </w:p>
    <w:p w:rsidR="00553F88" w:rsidRPr="00323710" w:rsidRDefault="00CB2F77" w:rsidP="00553F88">
      <w:pPr>
        <w:spacing w:after="120"/>
        <w:ind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>Roma, 27 dicembre 2014 -</w:t>
      </w:r>
      <w:r w:rsidR="00553F88" w:rsidRPr="00323710">
        <w:rPr>
          <w:rFonts w:ascii="Arial" w:hAnsi="Arial"/>
          <w:sz w:val="24"/>
        </w:rPr>
        <w:t xml:space="preserve"> Si chiude con pochissime luci e molte ombre il settimo anno di crisi per l’economia del Mezzogiorno che, anche per il 2014, fa registrare il segno meno nella gran parte degli indicatori.</w:t>
      </w:r>
    </w:p>
    <w:p w:rsidR="00553F88" w:rsidRPr="00323710" w:rsidRDefault="00553F88" w:rsidP="00553F88">
      <w:pPr>
        <w:spacing w:after="120"/>
        <w:ind w:firstLine="0"/>
        <w:rPr>
          <w:rFonts w:ascii="Arial" w:hAnsi="Arial"/>
          <w:sz w:val="24"/>
        </w:rPr>
      </w:pPr>
      <w:r w:rsidRPr="00323710">
        <w:rPr>
          <w:rFonts w:ascii="Arial" w:hAnsi="Arial"/>
          <w:sz w:val="24"/>
        </w:rPr>
        <w:t xml:space="preserve">L’Indice Sintetico del </w:t>
      </w:r>
      <w:proofErr w:type="spellStart"/>
      <w:r w:rsidRPr="00323710">
        <w:rPr>
          <w:rFonts w:ascii="Arial" w:hAnsi="Arial"/>
          <w:sz w:val="24"/>
        </w:rPr>
        <w:t>Check</w:t>
      </w:r>
      <w:proofErr w:type="spellEnd"/>
      <w:r w:rsidRPr="00323710">
        <w:rPr>
          <w:rFonts w:ascii="Arial" w:hAnsi="Arial"/>
          <w:sz w:val="24"/>
        </w:rPr>
        <w:t xml:space="preserve"> Up, elaborato da Confindustria e </w:t>
      </w:r>
      <w:proofErr w:type="spellStart"/>
      <w:r w:rsidRPr="00323710">
        <w:rPr>
          <w:rFonts w:ascii="Arial" w:hAnsi="Arial"/>
          <w:sz w:val="24"/>
        </w:rPr>
        <w:t>SRM-Studi</w:t>
      </w:r>
      <w:proofErr w:type="spellEnd"/>
      <w:r w:rsidRPr="00323710">
        <w:rPr>
          <w:rFonts w:ascii="Arial" w:hAnsi="Arial"/>
          <w:sz w:val="24"/>
        </w:rPr>
        <w:t xml:space="preserve"> e Ricerche per il Mezzogiorno  (centro studi del Gruppo Intesa </w:t>
      </w:r>
      <w:proofErr w:type="spellStart"/>
      <w:r w:rsidRPr="00323710">
        <w:rPr>
          <w:rFonts w:ascii="Arial" w:hAnsi="Arial"/>
          <w:sz w:val="24"/>
        </w:rPr>
        <w:t>Sanpaolo</w:t>
      </w:r>
      <w:proofErr w:type="spellEnd"/>
      <w:r w:rsidRPr="00323710">
        <w:rPr>
          <w:rFonts w:ascii="Arial" w:hAnsi="Arial"/>
          <w:sz w:val="24"/>
        </w:rPr>
        <w:t>) è infatti ben al di sotto del dato di partenza del 2007, ed in calo ulteriore rispetto al minimo già registrato nel 2013. A deprimere l’</w:t>
      </w:r>
      <w:r>
        <w:rPr>
          <w:rFonts w:ascii="Arial" w:hAnsi="Arial"/>
          <w:sz w:val="24"/>
        </w:rPr>
        <w:t xml:space="preserve">indice sono </w:t>
      </w:r>
      <w:r w:rsidRPr="00323710">
        <w:rPr>
          <w:rFonts w:ascii="Arial" w:hAnsi="Arial"/>
          <w:sz w:val="24"/>
        </w:rPr>
        <w:t xml:space="preserve">gli investimenti pubblici e privati, stimati in calo di quasi 29 </w:t>
      </w:r>
      <w:r>
        <w:rPr>
          <w:rFonts w:ascii="Arial" w:hAnsi="Arial"/>
          <w:sz w:val="24"/>
        </w:rPr>
        <w:t>miliardi tra il 2007 ed il 2014;</w:t>
      </w:r>
      <w:r w:rsidRPr="0032371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i</w:t>
      </w:r>
      <w:r w:rsidRPr="00323710">
        <w:rPr>
          <w:rFonts w:ascii="Arial" w:hAnsi="Arial"/>
          <w:sz w:val="24"/>
        </w:rPr>
        <w:t xml:space="preserve">l PIL, stimato in calo </w:t>
      </w:r>
      <w:r>
        <w:rPr>
          <w:rFonts w:ascii="Arial" w:hAnsi="Arial"/>
          <w:sz w:val="24"/>
        </w:rPr>
        <w:t>di oltre 51 miliardi di euro; e</w:t>
      </w:r>
      <w:r w:rsidRPr="00323710">
        <w:rPr>
          <w:rFonts w:ascii="Arial" w:hAnsi="Arial"/>
          <w:sz w:val="24"/>
        </w:rPr>
        <w:t xml:space="preserve"> l’occupazione, con il numero degli occupati ben al di sotto della soglia psicologica dei 6 milioni, ed un tasso di disoccupazione che ha </w:t>
      </w:r>
      <w:r>
        <w:rPr>
          <w:rFonts w:ascii="Arial" w:hAnsi="Arial"/>
          <w:sz w:val="24"/>
        </w:rPr>
        <w:t xml:space="preserve">sfondato il tetto </w:t>
      </w:r>
      <w:r w:rsidRPr="00323710">
        <w:rPr>
          <w:rFonts w:ascii="Arial" w:hAnsi="Arial"/>
          <w:sz w:val="24"/>
        </w:rPr>
        <w:t>del 20%.</w:t>
      </w:r>
    </w:p>
    <w:p w:rsidR="00553F88" w:rsidRDefault="00553F88" w:rsidP="00553F88">
      <w:pPr>
        <w:spacing w:after="120"/>
        <w:ind w:firstLine="0"/>
        <w:rPr>
          <w:rFonts w:ascii="Arial" w:hAnsi="Arial"/>
          <w:sz w:val="24"/>
        </w:rPr>
      </w:pPr>
      <w:r w:rsidRPr="00323710">
        <w:rPr>
          <w:rFonts w:ascii="Arial" w:hAnsi="Arial"/>
          <w:sz w:val="24"/>
        </w:rPr>
        <w:t>Nei primi 9 mesi del 2014</w:t>
      </w:r>
      <w:r>
        <w:rPr>
          <w:rFonts w:ascii="Arial" w:hAnsi="Arial"/>
          <w:sz w:val="24"/>
        </w:rPr>
        <w:t>,</w:t>
      </w:r>
      <w:r w:rsidRPr="00323710">
        <w:rPr>
          <w:rFonts w:ascii="Arial" w:hAnsi="Arial"/>
          <w:sz w:val="24"/>
        </w:rPr>
        <w:t xml:space="preserve"> 88 mila imprese meridionali hanno chiuso i battenti, ad un ritmo di 326 cessazioni al giorno, non compensate dalle nuove iscrizioni: il saldo del 2014 vede</w:t>
      </w:r>
      <w:r>
        <w:rPr>
          <w:rFonts w:ascii="Arial" w:hAnsi="Arial"/>
          <w:sz w:val="24"/>
        </w:rPr>
        <w:t>,</w:t>
      </w:r>
      <w:r w:rsidRPr="00323710">
        <w:rPr>
          <w:rFonts w:ascii="Arial" w:hAnsi="Arial"/>
          <w:sz w:val="24"/>
        </w:rPr>
        <w:t xml:space="preserve"> infatti</w:t>
      </w:r>
      <w:r>
        <w:rPr>
          <w:rFonts w:ascii="Arial" w:hAnsi="Arial"/>
          <w:sz w:val="24"/>
        </w:rPr>
        <w:t>,</w:t>
      </w:r>
      <w:r w:rsidRPr="00323710">
        <w:rPr>
          <w:rFonts w:ascii="Arial" w:hAnsi="Arial"/>
          <w:sz w:val="24"/>
        </w:rPr>
        <w:t xml:space="preserve"> 10 mila imprese in meno.  </w:t>
      </w:r>
      <w:r>
        <w:rPr>
          <w:rFonts w:ascii="Arial" w:hAnsi="Arial"/>
          <w:sz w:val="24"/>
        </w:rPr>
        <w:t xml:space="preserve">Le </w:t>
      </w:r>
      <w:r w:rsidRPr="00323710">
        <w:rPr>
          <w:rFonts w:ascii="Arial" w:hAnsi="Arial"/>
          <w:sz w:val="24"/>
        </w:rPr>
        <w:t>sofferenze bancarie</w:t>
      </w:r>
      <w:r>
        <w:rPr>
          <w:rFonts w:ascii="Arial" w:hAnsi="Arial"/>
          <w:sz w:val="24"/>
        </w:rPr>
        <w:t xml:space="preserve"> sono</w:t>
      </w:r>
      <w:r w:rsidRPr="00323710">
        <w:rPr>
          <w:rFonts w:ascii="Arial" w:hAnsi="Arial"/>
          <w:sz w:val="24"/>
        </w:rPr>
        <w:t xml:space="preserve"> ormai ben oltre quota 36 miliardi di euro.</w:t>
      </w:r>
      <w:r>
        <w:rPr>
          <w:rFonts w:ascii="Arial" w:hAnsi="Arial"/>
          <w:sz w:val="24"/>
        </w:rPr>
        <w:t xml:space="preserve"> </w:t>
      </w:r>
      <w:r w:rsidRPr="00323710">
        <w:rPr>
          <w:rFonts w:ascii="Arial" w:hAnsi="Arial"/>
          <w:sz w:val="24"/>
        </w:rPr>
        <w:t>Le imprese che restano vedono erodere il loro fatturato (-1,8%), la loro redditività (</w:t>
      </w:r>
      <w:proofErr w:type="spellStart"/>
      <w:r w:rsidRPr="00323710">
        <w:rPr>
          <w:rFonts w:ascii="Arial" w:hAnsi="Arial"/>
          <w:sz w:val="24"/>
        </w:rPr>
        <w:t>RoI</w:t>
      </w:r>
      <w:proofErr w:type="spellEnd"/>
      <w:r w:rsidRPr="00323710">
        <w:rPr>
          <w:rFonts w:ascii="Arial" w:hAnsi="Arial"/>
          <w:sz w:val="24"/>
        </w:rPr>
        <w:t xml:space="preserve"> ridotto di oltre 3 punti dal 2007) e i loro margini, anche per effetto dell’aumento della pressione fiscale: le imprese in perdita nel Mezzogiorno sono circa 1/3 del totale, e il 5,5% di loro è in perdita dopo il pagamento delle imposte. Segno di margini sempre più esigui, ma anche di una pressione fiscale, soprattutto locale, sempre più opprimente: come certifica la Banca d’Italia, nel 2011-12 </w:t>
      </w:r>
      <w:r>
        <w:rPr>
          <w:rFonts w:ascii="Arial" w:hAnsi="Arial"/>
          <w:sz w:val="24"/>
        </w:rPr>
        <w:t>le entrate fiscali sono aumentat</w:t>
      </w:r>
      <w:r w:rsidRPr="00323710">
        <w:rPr>
          <w:rFonts w:ascii="Arial" w:hAnsi="Arial"/>
          <w:sz w:val="24"/>
        </w:rPr>
        <w:t xml:space="preserve">e dell’1,7%  all’anno nel Mezzogiorno, dove ormai il rapporto tra gettito fiscale e PIL è ormai prossimo a quello del Centro-Nord. </w:t>
      </w:r>
    </w:p>
    <w:p w:rsidR="00553F88" w:rsidRPr="00323710" w:rsidRDefault="00553F88" w:rsidP="00553F88">
      <w:pPr>
        <w:spacing w:after="120"/>
        <w:ind w:firstLine="0"/>
        <w:rPr>
          <w:rFonts w:ascii="Arial" w:hAnsi="Arial"/>
          <w:sz w:val="24"/>
        </w:rPr>
      </w:pPr>
      <w:r w:rsidRPr="00323710">
        <w:rPr>
          <w:rFonts w:ascii="Arial" w:hAnsi="Arial"/>
          <w:sz w:val="24"/>
        </w:rPr>
        <w:t>Segnali contrastanti vengono dalle esportazioni</w:t>
      </w:r>
      <w:r>
        <w:rPr>
          <w:rFonts w:ascii="Arial" w:hAnsi="Arial"/>
          <w:sz w:val="24"/>
        </w:rPr>
        <w:t>. N</w:t>
      </w:r>
      <w:r w:rsidRPr="00323710">
        <w:rPr>
          <w:rFonts w:ascii="Arial" w:hAnsi="Arial"/>
          <w:sz w:val="24"/>
        </w:rPr>
        <w:t>el medio lungo periodo, infatti, l’export si conferma la principale variabile posit</w:t>
      </w:r>
      <w:r>
        <w:rPr>
          <w:rFonts w:ascii="Arial" w:hAnsi="Arial"/>
          <w:sz w:val="24"/>
        </w:rPr>
        <w:t>iva dell‘economia meridionale (</w:t>
      </w:r>
      <w:r w:rsidRPr="00323710">
        <w:rPr>
          <w:rFonts w:ascii="Arial" w:hAnsi="Arial"/>
          <w:sz w:val="24"/>
        </w:rPr>
        <w:t xml:space="preserve">+2,7% rispetto al dato </w:t>
      </w:r>
      <w:proofErr w:type="spellStart"/>
      <w:r w:rsidRPr="00323710">
        <w:rPr>
          <w:rFonts w:ascii="Arial" w:hAnsi="Arial"/>
          <w:sz w:val="24"/>
        </w:rPr>
        <w:t>pre-crisi</w:t>
      </w:r>
      <w:proofErr w:type="spellEnd"/>
      <w:r w:rsidRPr="00323710">
        <w:rPr>
          <w:rFonts w:ascii="Arial" w:hAnsi="Arial"/>
          <w:sz w:val="24"/>
        </w:rPr>
        <w:t xml:space="preserve"> del 2007) ma, nel complesso</w:t>
      </w:r>
      <w:r>
        <w:rPr>
          <w:rFonts w:ascii="Arial" w:hAnsi="Arial"/>
          <w:sz w:val="24"/>
        </w:rPr>
        <w:t>, anche questa variabile</w:t>
      </w:r>
      <w:r w:rsidRPr="00323710">
        <w:rPr>
          <w:rFonts w:ascii="Arial" w:hAnsi="Arial"/>
          <w:sz w:val="24"/>
        </w:rPr>
        <w:t xml:space="preserve"> sta conoscendo negli ultimi mesi un preoccupante rallentamento, essendo fortemente influenzata dall’instabilità del pezzo del petrolio</w:t>
      </w:r>
      <w:r>
        <w:rPr>
          <w:rFonts w:ascii="Arial" w:hAnsi="Arial"/>
          <w:sz w:val="24"/>
        </w:rPr>
        <w:t xml:space="preserve"> (che costituisce parte importante dell’export meridionale)</w:t>
      </w:r>
      <w:r w:rsidRPr="00323710">
        <w:rPr>
          <w:rFonts w:ascii="Arial" w:hAnsi="Arial"/>
          <w:sz w:val="24"/>
        </w:rPr>
        <w:t>. Nel 2014 migliora infatti l’export dell’</w:t>
      </w:r>
      <w:proofErr w:type="spellStart"/>
      <w:r w:rsidRPr="00323710">
        <w:rPr>
          <w:rFonts w:ascii="Arial" w:hAnsi="Arial"/>
          <w:sz w:val="24"/>
        </w:rPr>
        <w:t>automotive</w:t>
      </w:r>
      <w:proofErr w:type="spellEnd"/>
      <w:r w:rsidRPr="00323710">
        <w:rPr>
          <w:rFonts w:ascii="Arial" w:hAnsi="Arial"/>
          <w:sz w:val="24"/>
        </w:rPr>
        <w:t xml:space="preserve"> e dell’aeronautico (+5,1% rispetto ad un anno fa), della meccanica (+4,3%) e del metallurgico (+13,9%), trainato dalla ripresa delle esportazioni dell’ILVA di Taranto: in calo invece, oltre ai prodotti della raffinazione, la chimica, la farmaceutica e la gomma e plastica. L’agroalimentare è il settore che più ha visto crescere le proprie esportazioni dall’avvio della crisi (+40,5%, con un incremento in valore di oltre 1,2 miliardi di euro</w:t>
      </w:r>
      <w:r>
        <w:rPr>
          <w:rFonts w:ascii="Arial" w:hAnsi="Arial"/>
          <w:sz w:val="24"/>
        </w:rPr>
        <w:t>)</w:t>
      </w:r>
      <w:r w:rsidRPr="00323710">
        <w:rPr>
          <w:rFonts w:ascii="Arial" w:hAnsi="Arial"/>
          <w:sz w:val="24"/>
        </w:rPr>
        <w:t>.</w:t>
      </w:r>
    </w:p>
    <w:p w:rsidR="00553F88" w:rsidRPr="00323710" w:rsidRDefault="00553F88" w:rsidP="00553F88">
      <w:pPr>
        <w:spacing w:after="120"/>
        <w:ind w:firstLine="0"/>
        <w:rPr>
          <w:rFonts w:ascii="Arial" w:hAnsi="Arial"/>
          <w:sz w:val="24"/>
        </w:rPr>
      </w:pPr>
      <w:r w:rsidRPr="00323710">
        <w:rPr>
          <w:rFonts w:ascii="Arial" w:hAnsi="Arial"/>
          <w:sz w:val="24"/>
        </w:rPr>
        <w:t xml:space="preserve">Quelli legati all’export non sono i soli segnali positivi: continua a crescere il numero delle società di capitali (+4,4% nell’ultimo anno, nonostante il calo delle imprese attive), come il numero delle start up (+45,6% nella sola seconda parte del 2014); crescono le imprese in </w:t>
      </w:r>
      <w:r w:rsidRPr="00323710">
        <w:rPr>
          <w:rFonts w:ascii="Arial" w:hAnsi="Arial"/>
          <w:sz w:val="24"/>
        </w:rPr>
        <w:lastRenderedPageBreak/>
        <w:t>rete (oltre 2.200) e cala per la prima volta il numero medio delle società con almeno un protesto nell’anno. Soprattutto, come mostra la Banca d’Italia, la domanda e l’offerta di credito tendono a stabilizzarsi (anche grazie all’intervento della BCE), dopo un lungo periodo in cui alla crescita della domanda ha fatto riscontro un irrigidimento delle condizioni di offe</w:t>
      </w:r>
      <w:r>
        <w:rPr>
          <w:rFonts w:ascii="Arial" w:hAnsi="Arial"/>
          <w:sz w:val="24"/>
        </w:rPr>
        <w:t xml:space="preserve">rta e, di conseguenza, </w:t>
      </w:r>
      <w:r w:rsidRPr="00323710">
        <w:rPr>
          <w:rFonts w:ascii="Arial" w:hAnsi="Arial"/>
          <w:sz w:val="24"/>
        </w:rPr>
        <w:t xml:space="preserve">una riduzione degli impieghi (-1,8%).  </w:t>
      </w:r>
    </w:p>
    <w:p w:rsidR="00553F88" w:rsidRPr="00323710" w:rsidRDefault="00553F88" w:rsidP="00553F88">
      <w:pPr>
        <w:spacing w:after="120"/>
        <w:ind w:firstLine="0"/>
        <w:rPr>
          <w:rFonts w:ascii="Arial" w:hAnsi="Arial"/>
          <w:sz w:val="24"/>
        </w:rPr>
      </w:pPr>
      <w:r w:rsidRPr="00323710">
        <w:rPr>
          <w:rFonts w:ascii="Arial" w:hAnsi="Arial"/>
          <w:sz w:val="24"/>
        </w:rPr>
        <w:t xml:space="preserve">Tali segnali, tuttavia, non sono ancora sufficienti ad invertire la tendenza, anche perché concentrati in alcune aree e con numeri ancora troppo esigui e, soprattutto, non supportati da una azione pubblica </w:t>
      </w:r>
      <w:proofErr w:type="spellStart"/>
      <w:r w:rsidRPr="00323710">
        <w:rPr>
          <w:rFonts w:ascii="Arial" w:hAnsi="Arial"/>
          <w:sz w:val="24"/>
        </w:rPr>
        <w:t>convintamente</w:t>
      </w:r>
      <w:proofErr w:type="spellEnd"/>
      <w:r w:rsidRPr="00323710">
        <w:rPr>
          <w:rFonts w:ascii="Arial" w:hAnsi="Arial"/>
          <w:sz w:val="24"/>
        </w:rPr>
        <w:t xml:space="preserve"> anticiclica, se si eccettua l’effettivo saldo di buona parte dei debiti della PA verso le imprese. Tra il 2009 e il 2013, infatti, la spesa in conto capitale nel Mezzogiorno si è ridotta di oltre 5 miliardi di euro, tornando ai valori del 1996, contribuendo alla riduzione del numero e del valore degli appalti pubblici. Di valore sempre più ridotto sono</w:t>
      </w:r>
      <w:r>
        <w:rPr>
          <w:rFonts w:ascii="Arial" w:hAnsi="Arial"/>
          <w:sz w:val="24"/>
        </w:rPr>
        <w:t>, inoltre,</w:t>
      </w:r>
      <w:r w:rsidRPr="00323710">
        <w:rPr>
          <w:rFonts w:ascii="Arial" w:hAnsi="Arial"/>
          <w:sz w:val="24"/>
        </w:rPr>
        <w:t xml:space="preserve"> le gare di Partenariato Pubblico-Privato bandite</w:t>
      </w:r>
      <w:r>
        <w:rPr>
          <w:rFonts w:ascii="Arial" w:hAnsi="Arial"/>
          <w:sz w:val="24"/>
        </w:rPr>
        <w:t xml:space="preserve"> al Sud</w:t>
      </w:r>
      <w:r w:rsidRPr="00323710">
        <w:rPr>
          <w:rFonts w:ascii="Arial" w:hAnsi="Arial"/>
          <w:sz w:val="24"/>
        </w:rPr>
        <w:t>, e pressoché dimezzati, rispetto all’anno precedente i mutui concessi agli Enti locali per il finanziamento degli investimenti. Si realizzano, dunque, sempre meno investimenti pubblici, sia che lo Stato li finanzi direttamente sia che li promuova indirettamente</w:t>
      </w:r>
    </w:p>
    <w:p w:rsidR="00553F88" w:rsidRPr="00323710" w:rsidRDefault="00553F88" w:rsidP="00553F88">
      <w:pPr>
        <w:spacing w:after="120"/>
        <w:ind w:firstLine="0"/>
        <w:rPr>
          <w:rFonts w:ascii="Arial" w:hAnsi="Arial"/>
          <w:sz w:val="24"/>
        </w:rPr>
      </w:pPr>
      <w:r w:rsidRPr="00323710">
        <w:rPr>
          <w:rFonts w:ascii="Arial" w:hAnsi="Arial"/>
          <w:sz w:val="24"/>
        </w:rPr>
        <w:t xml:space="preserve">E’ un Mezzogiorno con il motore al minimo, dunque, in cui economia, società e amministrazione pubblica sembrano non avere la forza per uscire dalla crisi e il clima di fiducia faticosamente risalito nei mesi scorsi, è tornato purtroppo a calare, soprattutto nella sua componente economica. Si spiega anche così il basso livello di investimenti privati nonostante la liquidità non manchi ai principali gruppi bancari, dopo l’accesso al </w:t>
      </w:r>
      <w:proofErr w:type="spellStart"/>
      <w:r w:rsidRPr="00323710">
        <w:rPr>
          <w:rFonts w:ascii="Arial" w:hAnsi="Arial"/>
          <w:sz w:val="24"/>
        </w:rPr>
        <w:t>funding</w:t>
      </w:r>
      <w:proofErr w:type="spellEnd"/>
      <w:r w:rsidRPr="00323710">
        <w:rPr>
          <w:rFonts w:ascii="Arial" w:hAnsi="Arial"/>
          <w:sz w:val="24"/>
        </w:rPr>
        <w:t xml:space="preserve"> agevolato della BCE. </w:t>
      </w:r>
    </w:p>
    <w:p w:rsidR="00553F88" w:rsidRPr="00323710" w:rsidRDefault="00553F88" w:rsidP="00553F88">
      <w:pPr>
        <w:tabs>
          <w:tab w:val="left" w:pos="705"/>
        </w:tabs>
        <w:spacing w:after="120"/>
        <w:ind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>Q</w:t>
      </w:r>
      <w:r w:rsidRPr="00323710">
        <w:rPr>
          <w:rFonts w:ascii="Arial" w:hAnsi="Arial"/>
          <w:sz w:val="24"/>
        </w:rPr>
        <w:t>uella del Mezzogiorno, oltre che una crisi economica e sociale, sembra essere sempre più una crisi di sfiducia, in cui le imprese non investono, i giovani se ne vanno, perfino le poche risorse pubbliche per investimenti non si riescono ad utilizzare: ad un anno dalla chiusura del ciclo di programmazione 2007-13, restano infatti ancora da erogare ben 14 miliardi di euro.</w:t>
      </w:r>
      <w:r>
        <w:rPr>
          <w:rFonts w:ascii="Arial" w:hAnsi="Arial"/>
          <w:sz w:val="24"/>
        </w:rPr>
        <w:t xml:space="preserve"> Cosicché, torna ad allargarsi il divario nel PIL procapite, pari a poco più del 56% di quello del Centro-Nord: in valori assoluti, pari a circa 13 mila euro in meno.</w:t>
      </w:r>
    </w:p>
    <w:p w:rsidR="00553F88" w:rsidRPr="00323710" w:rsidRDefault="00553F88" w:rsidP="00553F88">
      <w:pPr>
        <w:tabs>
          <w:tab w:val="left" w:pos="705"/>
        </w:tabs>
        <w:spacing w:after="120"/>
        <w:ind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>E’</w:t>
      </w:r>
      <w:r w:rsidRPr="00323710">
        <w:rPr>
          <w:rFonts w:ascii="Arial" w:hAnsi="Arial"/>
          <w:sz w:val="24"/>
        </w:rPr>
        <w:t xml:space="preserve"> un Mezzogiorno sfiduciato, ma ancora ricco di risorse e di imprese che hanno rinviato i loro investimenti in attesa di prospettive più chiare, e che hanno bisogno di un tessuto sociale e </w:t>
      </w:r>
      <w:r>
        <w:rPr>
          <w:rFonts w:ascii="Arial" w:hAnsi="Arial"/>
          <w:sz w:val="24"/>
        </w:rPr>
        <w:t xml:space="preserve">soprattutto </w:t>
      </w:r>
      <w:r w:rsidRPr="00323710">
        <w:rPr>
          <w:rFonts w:ascii="Arial" w:hAnsi="Arial"/>
          <w:sz w:val="24"/>
        </w:rPr>
        <w:t>istituzionale che reagisca con vigore.</w:t>
      </w:r>
    </w:p>
    <w:p w:rsidR="00553F88" w:rsidRPr="00323710" w:rsidRDefault="00553F88" w:rsidP="00553F88">
      <w:pPr>
        <w:tabs>
          <w:tab w:val="left" w:pos="705"/>
        </w:tabs>
        <w:spacing w:after="120"/>
        <w:ind w:firstLine="0"/>
        <w:rPr>
          <w:rFonts w:ascii="Arial" w:hAnsi="Arial"/>
          <w:sz w:val="24"/>
        </w:rPr>
      </w:pPr>
      <w:r w:rsidRPr="00323710">
        <w:rPr>
          <w:rFonts w:ascii="Arial" w:hAnsi="Arial"/>
          <w:sz w:val="24"/>
        </w:rPr>
        <w:t>Il recupero della fiducia appare pertanto la principale ricetta di politica economica capace di agganciare il Sud alla possibile ripresa del 2015: lo sblocco di questo stand-by può venire da uno stimolo esterno.</w:t>
      </w:r>
    </w:p>
    <w:p w:rsidR="00553F88" w:rsidRDefault="00553F88" w:rsidP="00553F88">
      <w:pPr>
        <w:tabs>
          <w:tab w:val="left" w:pos="705"/>
        </w:tabs>
        <w:spacing w:after="120"/>
        <w:ind w:firstLine="0"/>
        <w:rPr>
          <w:rFonts w:ascii="Arial" w:hAnsi="Arial"/>
          <w:sz w:val="24"/>
        </w:rPr>
      </w:pPr>
      <w:r w:rsidRPr="00323710">
        <w:rPr>
          <w:rFonts w:ascii="Arial" w:hAnsi="Arial"/>
          <w:sz w:val="24"/>
        </w:rPr>
        <w:t xml:space="preserve">L’esclusione delle spese di investimento, in particolare di quelle finanziate da fondi strutturali europei dal calcolo </w:t>
      </w:r>
      <w:r>
        <w:rPr>
          <w:rFonts w:ascii="Arial" w:hAnsi="Arial"/>
          <w:sz w:val="24"/>
        </w:rPr>
        <w:t xml:space="preserve">europeo </w:t>
      </w:r>
      <w:r w:rsidRPr="00323710">
        <w:rPr>
          <w:rFonts w:ascii="Arial" w:hAnsi="Arial"/>
          <w:sz w:val="24"/>
        </w:rPr>
        <w:t>del deficit, appare sempre più la chiave di volta per rimettere in moto investimenti da troppo tempo bloccati e per ridare ai bilanci pubblici spazi di manovra senza i quali nessuna fase espansiva appare ipotizzabile.</w:t>
      </w:r>
      <w:r>
        <w:rPr>
          <w:rFonts w:ascii="Arial" w:hAnsi="Arial"/>
          <w:sz w:val="24"/>
        </w:rPr>
        <w:t xml:space="preserve"> Il semestre di presidenza italiano ha avuto il merito di porre il tema all’ordine del giorno, e il recente Consiglio europeo ha lasciato aperto uno spiraglio, collegandone l’eventuale implementazione all’attuazione del Piano </w:t>
      </w:r>
      <w:proofErr w:type="spellStart"/>
      <w:r>
        <w:rPr>
          <w:rFonts w:ascii="Arial" w:hAnsi="Arial"/>
          <w:sz w:val="24"/>
        </w:rPr>
        <w:t>Juncker</w:t>
      </w:r>
      <w:proofErr w:type="spellEnd"/>
      <w:r>
        <w:rPr>
          <w:rFonts w:ascii="Arial" w:hAnsi="Arial"/>
          <w:sz w:val="24"/>
        </w:rPr>
        <w:t>. Queste timide aperture devono essere consolidate già nei primi mesi del 2015, per poterne trasferire i benefici effetti sul Patto di Stabilità delle Regioni, ampliando gli spazi, ancora stretti, aperti dalla Legge di Stabilità.</w:t>
      </w:r>
    </w:p>
    <w:p w:rsidR="00705D0F" w:rsidRDefault="00553F88" w:rsidP="00553F88">
      <w:pPr>
        <w:tabs>
          <w:tab w:val="left" w:pos="705"/>
        </w:tabs>
        <w:spacing w:after="120"/>
        <w:ind w:firstLine="0"/>
        <w:rPr>
          <w:rFonts w:ascii="Arial" w:hAnsi="Arial" w:cs="Arial"/>
          <w:sz w:val="24"/>
          <w:szCs w:val="24"/>
        </w:rPr>
      </w:pPr>
      <w:r w:rsidRPr="005537BC">
        <w:rPr>
          <w:rFonts w:ascii="Arial" w:hAnsi="Arial" w:cs="Arial"/>
          <w:sz w:val="24"/>
          <w:szCs w:val="24"/>
        </w:rPr>
        <w:t>La vera sfida è costituita da una selezione attenta e mirata degli investimenti pubblici</w:t>
      </w:r>
      <w:r>
        <w:rPr>
          <w:rFonts w:ascii="Arial" w:hAnsi="Arial" w:cs="Arial"/>
          <w:sz w:val="24"/>
          <w:szCs w:val="24"/>
        </w:rPr>
        <w:t xml:space="preserve"> e privati,</w:t>
      </w:r>
      <w:r w:rsidRPr="005537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Pr="005537BC">
        <w:rPr>
          <w:rFonts w:ascii="Arial" w:hAnsi="Arial" w:cs="Arial"/>
          <w:sz w:val="24"/>
          <w:szCs w:val="24"/>
        </w:rPr>
        <w:t xml:space="preserve">n alcune aree prioritarie </w:t>
      </w:r>
      <w:r>
        <w:rPr>
          <w:rFonts w:ascii="Arial" w:hAnsi="Arial" w:cs="Arial"/>
          <w:sz w:val="24"/>
          <w:szCs w:val="24"/>
        </w:rPr>
        <w:t>dal valore strategico</w:t>
      </w:r>
      <w:r w:rsidRPr="005537BC">
        <w:rPr>
          <w:rFonts w:ascii="Arial" w:hAnsi="Arial" w:cs="Arial"/>
          <w:sz w:val="24"/>
          <w:szCs w:val="24"/>
        </w:rPr>
        <w:t>: dalla</w:t>
      </w:r>
      <w:r>
        <w:rPr>
          <w:rFonts w:ascii="Arial" w:hAnsi="Arial" w:cs="Arial"/>
          <w:sz w:val="24"/>
          <w:szCs w:val="24"/>
        </w:rPr>
        <w:t xml:space="preserve"> ricerca e sviluppo alla</w:t>
      </w:r>
      <w:r w:rsidRPr="005537BC">
        <w:rPr>
          <w:rFonts w:ascii="Arial" w:hAnsi="Arial" w:cs="Arial"/>
          <w:sz w:val="24"/>
          <w:szCs w:val="24"/>
        </w:rPr>
        <w:t xml:space="preserve"> competitività</w:t>
      </w:r>
      <w:r>
        <w:rPr>
          <w:rFonts w:ascii="Arial" w:hAnsi="Arial" w:cs="Arial"/>
          <w:sz w:val="24"/>
          <w:szCs w:val="24"/>
        </w:rPr>
        <w:t xml:space="preserve"> delle imprese; da</w:t>
      </w:r>
      <w:r w:rsidRPr="005537BC">
        <w:rPr>
          <w:rFonts w:ascii="Arial" w:hAnsi="Arial" w:cs="Arial"/>
          <w:sz w:val="24"/>
          <w:szCs w:val="24"/>
        </w:rPr>
        <w:t xml:space="preserve">lle risorse naturali e culturali all’istruzione; dall’efficienza energetica alle infrastrutture materiali e sociali (e </w:t>
      </w:r>
      <w:r>
        <w:rPr>
          <w:rFonts w:ascii="Arial" w:hAnsi="Arial" w:cs="Arial"/>
          <w:sz w:val="24"/>
          <w:szCs w:val="24"/>
        </w:rPr>
        <w:t>ai</w:t>
      </w:r>
      <w:r w:rsidRPr="005537BC">
        <w:rPr>
          <w:rFonts w:ascii="Arial" w:hAnsi="Arial" w:cs="Arial"/>
          <w:sz w:val="24"/>
          <w:szCs w:val="24"/>
        </w:rPr>
        <w:t xml:space="preserve"> servizi che tali infrastrutture utilizzano)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53F88" w:rsidRPr="005537BC" w:rsidRDefault="00553F88" w:rsidP="00553F88">
      <w:pPr>
        <w:tabs>
          <w:tab w:val="left" w:pos="705"/>
        </w:tabs>
        <w:spacing w:after="120"/>
        <w:ind w:firstLine="0"/>
        <w:rPr>
          <w:rFonts w:ascii="Arial" w:hAnsi="Arial" w:cs="Arial"/>
          <w:sz w:val="24"/>
          <w:szCs w:val="24"/>
        </w:rPr>
      </w:pPr>
      <w:r w:rsidRPr="005537BC">
        <w:rPr>
          <w:rFonts w:ascii="Arial" w:hAnsi="Arial" w:cs="Arial"/>
          <w:sz w:val="24"/>
          <w:szCs w:val="24"/>
        </w:rPr>
        <w:t xml:space="preserve">E’ la stessa sfida del Piano </w:t>
      </w:r>
      <w:proofErr w:type="spellStart"/>
      <w:r w:rsidRPr="005537BC">
        <w:rPr>
          <w:rFonts w:ascii="Arial" w:hAnsi="Arial" w:cs="Arial"/>
          <w:sz w:val="24"/>
          <w:szCs w:val="24"/>
        </w:rPr>
        <w:t>Juncker</w:t>
      </w:r>
      <w:proofErr w:type="spellEnd"/>
      <w:r w:rsidRPr="005537BC">
        <w:rPr>
          <w:rFonts w:ascii="Arial" w:hAnsi="Arial" w:cs="Arial"/>
          <w:sz w:val="24"/>
          <w:szCs w:val="24"/>
        </w:rPr>
        <w:t>, sulla quale far convergere gli investimenti pubblici e privati, e su cui concentrare tutte le risorse della politica di coesione, vecchie e nuove. Una sfida da giocare prima di tutto al Sud</w:t>
      </w:r>
      <w:r>
        <w:rPr>
          <w:rFonts w:ascii="Arial" w:hAnsi="Arial" w:cs="Arial"/>
          <w:sz w:val="24"/>
          <w:szCs w:val="24"/>
        </w:rPr>
        <w:t>.</w:t>
      </w:r>
    </w:p>
    <w:p w:rsidR="00281946" w:rsidRPr="00A94541" w:rsidRDefault="00281946" w:rsidP="00553F88">
      <w:pPr>
        <w:ind w:firstLine="0"/>
        <w:rPr>
          <w:rFonts w:asciiTheme="minorHAnsi" w:hAnsiTheme="minorHAnsi"/>
          <w:b/>
          <w:sz w:val="18"/>
          <w:szCs w:val="18"/>
        </w:rPr>
      </w:pPr>
      <w:r w:rsidRPr="00A94541">
        <w:rPr>
          <w:rFonts w:asciiTheme="minorHAnsi" w:hAnsiTheme="minorHAnsi"/>
          <w:b/>
          <w:sz w:val="18"/>
          <w:szCs w:val="18"/>
        </w:rPr>
        <w:lastRenderedPageBreak/>
        <w:t>Andamento del PIL dall'inizio della crisi al 2013, valori concatenati, anno base 2005 (milioni di euro)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114"/>
        <w:gridCol w:w="871"/>
        <w:gridCol w:w="870"/>
        <w:gridCol w:w="870"/>
        <w:gridCol w:w="870"/>
        <w:gridCol w:w="870"/>
        <w:gridCol w:w="870"/>
        <w:gridCol w:w="960"/>
        <w:gridCol w:w="1136"/>
        <w:gridCol w:w="1347"/>
      </w:tblGrid>
      <w:tr w:rsidR="00067E67" w:rsidRPr="006A05E6" w:rsidTr="00067E67">
        <w:trPr>
          <w:trHeight w:val="294"/>
        </w:trPr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E67" w:rsidRPr="006A05E6" w:rsidRDefault="00067E67" w:rsidP="00C650DC">
            <w:pPr>
              <w:ind w:firstLine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</w:pPr>
            <w:r w:rsidRPr="006A05E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E67" w:rsidRPr="006A05E6" w:rsidRDefault="00067E67" w:rsidP="00C650DC">
            <w:pPr>
              <w:ind w:firstLine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</w:pPr>
            <w:r w:rsidRPr="006A05E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  <w:t>2007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E67" w:rsidRPr="006A05E6" w:rsidRDefault="00067E67" w:rsidP="00C650DC">
            <w:pPr>
              <w:ind w:firstLine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</w:pPr>
            <w:r w:rsidRPr="006A05E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  <w:t>2008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E67" w:rsidRPr="006A05E6" w:rsidRDefault="00067E67" w:rsidP="00C650DC">
            <w:pPr>
              <w:ind w:firstLine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</w:pPr>
            <w:r w:rsidRPr="006A05E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  <w:t>2009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E67" w:rsidRPr="006A05E6" w:rsidRDefault="00067E67" w:rsidP="00C650DC">
            <w:pPr>
              <w:ind w:firstLine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</w:pPr>
            <w:r w:rsidRPr="006A05E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  <w:t>2010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E67" w:rsidRPr="006A05E6" w:rsidRDefault="00067E67" w:rsidP="00C650DC">
            <w:pPr>
              <w:ind w:firstLine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</w:pPr>
            <w:r w:rsidRPr="006A05E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  <w:t>2011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E67" w:rsidRPr="006A05E6" w:rsidRDefault="00067E67" w:rsidP="00C650DC">
            <w:pPr>
              <w:ind w:firstLine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</w:pPr>
            <w:r w:rsidRPr="006A05E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  <w:t>2012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E67" w:rsidRPr="006A05E6" w:rsidRDefault="00067E67" w:rsidP="00C650DC">
            <w:pPr>
              <w:ind w:firstLine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</w:pPr>
            <w:r w:rsidRPr="006A05E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  <w:t>2013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E67" w:rsidRPr="006A05E6" w:rsidRDefault="00067E67" w:rsidP="00C650DC">
            <w:pPr>
              <w:ind w:firstLine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</w:pPr>
            <w:r w:rsidRPr="006A05E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  <w:t>Var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  <w:t>.</w:t>
            </w:r>
            <w:r w:rsidRPr="006A05E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  <w:t xml:space="preserve"> % 2013</w:t>
            </w:r>
          </w:p>
          <w:p w:rsidR="00067E67" w:rsidRPr="006A05E6" w:rsidRDefault="00067E67" w:rsidP="00C650DC">
            <w:pPr>
              <w:ind w:firstLine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</w:pPr>
            <w:r w:rsidRPr="006A05E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  <w:t xml:space="preserve"> su 2007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E67" w:rsidRPr="006A05E6" w:rsidRDefault="00067E67" w:rsidP="00C650DC">
            <w:pPr>
              <w:ind w:firstLine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</w:pPr>
            <w:r w:rsidRPr="006A05E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  <w:t>Var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  <w:t>.</w:t>
            </w:r>
            <w:r w:rsidRPr="006A05E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  <w:t xml:space="preserve"> % 2013 </w:t>
            </w:r>
          </w:p>
          <w:p w:rsidR="00067E67" w:rsidRPr="006A05E6" w:rsidRDefault="00067E67" w:rsidP="00C650DC">
            <w:pPr>
              <w:ind w:firstLine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</w:pPr>
            <w:r w:rsidRPr="006A05E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  <w:t>su 2012</w:t>
            </w:r>
          </w:p>
        </w:tc>
      </w:tr>
      <w:tr w:rsidR="00067E67" w:rsidRPr="006E4A20" w:rsidTr="00067E67">
        <w:trPr>
          <w:trHeight w:val="294"/>
        </w:trPr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6A05E6" w:rsidRDefault="00067E67" w:rsidP="00C650DC">
            <w:pPr>
              <w:ind w:firstLine="0"/>
              <w:jc w:val="lef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</w:pPr>
            <w:r w:rsidRPr="006A05E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  <w:t>Centro-Nord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6E4A20" w:rsidRDefault="00067E67" w:rsidP="00C650DC">
            <w:pPr>
              <w:ind w:firstLine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</w:pPr>
            <w:r w:rsidRPr="006E4A20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  <w:t>1.137.752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6E4A20" w:rsidRDefault="00067E67" w:rsidP="00C650DC">
            <w:pPr>
              <w:ind w:firstLine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</w:pPr>
            <w:r w:rsidRPr="006E4A20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  <w:t>1.125.295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6E4A20" w:rsidRDefault="00067E67" w:rsidP="00C650DC">
            <w:pPr>
              <w:ind w:firstLine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</w:pPr>
            <w:r w:rsidRPr="006E4A20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  <w:t>1.062.398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6E4A20" w:rsidRDefault="00067E67" w:rsidP="00C650DC">
            <w:pPr>
              <w:ind w:firstLine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</w:pPr>
            <w:r w:rsidRPr="006E4A20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  <w:t>1.087.570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6E4A20" w:rsidRDefault="00067E67" w:rsidP="00C650DC">
            <w:pPr>
              <w:ind w:firstLine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</w:pPr>
            <w:r w:rsidRPr="006E4A20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  <w:t>1.095.984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6E4A20" w:rsidRDefault="00067E67" w:rsidP="00C650DC">
            <w:pPr>
              <w:ind w:firstLine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</w:pPr>
            <w:r w:rsidRPr="006E4A20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  <w:t>1.072.617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6E4A20" w:rsidRDefault="00067E67" w:rsidP="00C650DC">
            <w:pPr>
              <w:ind w:firstLine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</w:pPr>
            <w:r w:rsidRPr="006E4A20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  <w:t>1.057.982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6E4A20" w:rsidRDefault="00067E67" w:rsidP="00C650DC">
            <w:pPr>
              <w:ind w:firstLine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</w:pPr>
            <w:r w:rsidRPr="006E4A20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  <w:t>-7,0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6E4A20" w:rsidRDefault="00067E67" w:rsidP="00C650DC">
            <w:pPr>
              <w:ind w:firstLine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</w:pPr>
            <w:r w:rsidRPr="006E4A20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  <w:t>-1,4</w:t>
            </w:r>
          </w:p>
        </w:tc>
      </w:tr>
      <w:tr w:rsidR="00067E67" w:rsidRPr="006E4A20" w:rsidTr="00067E67">
        <w:trPr>
          <w:trHeight w:val="294"/>
        </w:trPr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6E4A20" w:rsidRDefault="00067E67" w:rsidP="00C650DC">
            <w:pPr>
              <w:ind w:firstLine="0"/>
              <w:jc w:val="left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it-IT"/>
              </w:rPr>
            </w:pPr>
            <w:r w:rsidRPr="006E4A20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it-IT"/>
              </w:rPr>
              <w:t>Mezzogiorno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6E4A20" w:rsidRDefault="00067E67" w:rsidP="00C650DC">
            <w:pPr>
              <w:ind w:firstLine="0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it-IT"/>
              </w:rPr>
            </w:pPr>
            <w:r w:rsidRPr="006E4A20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it-IT"/>
              </w:rPr>
              <w:t>352.746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6E4A20" w:rsidRDefault="00067E67" w:rsidP="00C650DC">
            <w:pPr>
              <w:ind w:firstLine="0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it-IT"/>
              </w:rPr>
            </w:pPr>
            <w:r w:rsidRPr="006E4A20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it-IT"/>
              </w:rPr>
              <w:t>347.876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6E4A20" w:rsidRDefault="00067E67" w:rsidP="00C650DC">
            <w:pPr>
              <w:ind w:firstLine="0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it-IT"/>
              </w:rPr>
            </w:pPr>
            <w:r w:rsidRPr="006E4A20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it-IT"/>
              </w:rPr>
              <w:t>329.973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6E4A20" w:rsidRDefault="00067E67" w:rsidP="00C650DC">
            <w:pPr>
              <w:ind w:firstLine="0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it-IT"/>
              </w:rPr>
            </w:pPr>
            <w:r w:rsidRPr="006E4A20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it-IT"/>
              </w:rPr>
              <w:t>328.978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6E4A20" w:rsidRDefault="00067E67" w:rsidP="00C650DC">
            <w:pPr>
              <w:ind w:firstLine="0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it-IT"/>
              </w:rPr>
            </w:pPr>
            <w:r w:rsidRPr="006E4A20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it-IT"/>
              </w:rPr>
              <w:t>327.127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6E4A20" w:rsidRDefault="00067E67" w:rsidP="00C650DC">
            <w:pPr>
              <w:ind w:firstLine="0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it-IT"/>
              </w:rPr>
            </w:pPr>
            <w:r w:rsidRPr="006E4A20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it-IT"/>
              </w:rPr>
              <w:t>316.755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6E4A20" w:rsidRDefault="00067E67" w:rsidP="00C650DC">
            <w:pPr>
              <w:ind w:firstLine="0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it-IT"/>
              </w:rPr>
            </w:pPr>
            <w:r w:rsidRPr="006E4A20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it-IT"/>
              </w:rPr>
              <w:t>305.658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6E4A20" w:rsidRDefault="00067E67" w:rsidP="00C650DC">
            <w:pPr>
              <w:ind w:firstLine="0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it-IT"/>
              </w:rPr>
            </w:pPr>
            <w:r w:rsidRPr="006E4A20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it-IT"/>
              </w:rPr>
              <w:t>-13,3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6E4A20" w:rsidRDefault="00067E67" w:rsidP="00C650DC">
            <w:pPr>
              <w:ind w:firstLine="0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it-IT"/>
              </w:rPr>
            </w:pPr>
            <w:r w:rsidRPr="006E4A20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it-IT"/>
              </w:rPr>
              <w:t>-3,5</w:t>
            </w:r>
          </w:p>
        </w:tc>
      </w:tr>
      <w:tr w:rsidR="00067E67" w:rsidRPr="006E4A20" w:rsidTr="00067E67">
        <w:trPr>
          <w:trHeight w:val="294"/>
        </w:trPr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6A05E6" w:rsidRDefault="00067E67" w:rsidP="00C650DC">
            <w:pPr>
              <w:ind w:firstLine="0"/>
              <w:jc w:val="lef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</w:pPr>
            <w:r w:rsidRPr="006A05E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  <w:t>Italia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6E4A20" w:rsidRDefault="00067E67" w:rsidP="00C650DC">
            <w:pPr>
              <w:ind w:firstLine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</w:pPr>
            <w:r w:rsidRPr="006E4A20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  <w:t>1.492.671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6E4A20" w:rsidRDefault="00067E67" w:rsidP="00C650DC">
            <w:pPr>
              <w:ind w:firstLine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</w:pPr>
            <w:r w:rsidRPr="006E4A20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  <w:t>1.475.412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6E4A20" w:rsidRDefault="00067E67" w:rsidP="00C650DC">
            <w:pPr>
              <w:ind w:firstLine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</w:pPr>
            <w:r w:rsidRPr="006E4A20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  <w:t>1.394.347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6E4A20" w:rsidRDefault="00067E67" w:rsidP="00C650DC">
            <w:pPr>
              <w:ind w:firstLine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</w:pPr>
            <w:r w:rsidRPr="006E4A20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  <w:t>1.418.375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6E4A20" w:rsidRDefault="00067E67" w:rsidP="00C650DC">
            <w:pPr>
              <w:ind w:firstLine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</w:pPr>
            <w:r w:rsidRPr="006E4A20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  <w:t>1.424.751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6E4A20" w:rsidRDefault="00067E67" w:rsidP="00C650DC">
            <w:pPr>
              <w:ind w:firstLine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</w:pPr>
            <w:r w:rsidRPr="006E4A20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  <w:t>1.391.017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6E4A20" w:rsidRDefault="00067E67" w:rsidP="00C650DC">
            <w:pPr>
              <w:ind w:firstLine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</w:pPr>
            <w:r w:rsidRPr="006E4A20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  <w:t>1.365.226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6E4A20" w:rsidRDefault="00067E67" w:rsidP="00C650DC">
            <w:pPr>
              <w:ind w:firstLine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</w:pPr>
            <w:r w:rsidRPr="006E4A20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  <w:t>-8,5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6E4A20" w:rsidRDefault="00067E67" w:rsidP="00C650DC">
            <w:pPr>
              <w:ind w:firstLine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</w:pPr>
            <w:r w:rsidRPr="006E4A20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  <w:t>-1,9</w:t>
            </w:r>
          </w:p>
        </w:tc>
      </w:tr>
    </w:tbl>
    <w:p w:rsidR="00553F88" w:rsidRDefault="00067E67" w:rsidP="00553F88">
      <w:pPr>
        <w:ind w:firstLine="0"/>
        <w:rPr>
          <w:rFonts w:asciiTheme="minorHAnsi" w:hAnsiTheme="minorHAnsi"/>
          <w:sz w:val="18"/>
          <w:szCs w:val="18"/>
        </w:rPr>
      </w:pPr>
      <w:r w:rsidRPr="005C0F8F">
        <w:rPr>
          <w:sz w:val="18"/>
          <w:szCs w:val="18"/>
        </w:rPr>
        <w:t>Elaborazione Confindustria e SRM su dati Istat</w:t>
      </w:r>
      <w:r>
        <w:rPr>
          <w:sz w:val="18"/>
          <w:szCs w:val="18"/>
        </w:rPr>
        <w:t xml:space="preserve"> e </w:t>
      </w:r>
      <w:proofErr w:type="spellStart"/>
      <w:r>
        <w:rPr>
          <w:sz w:val="18"/>
          <w:szCs w:val="18"/>
        </w:rPr>
        <w:t>Svimez</w:t>
      </w:r>
      <w:proofErr w:type="spellEnd"/>
    </w:p>
    <w:p w:rsidR="00553F88" w:rsidRDefault="00553F88" w:rsidP="00553F88">
      <w:pPr>
        <w:ind w:firstLine="0"/>
        <w:rPr>
          <w:rFonts w:asciiTheme="minorHAnsi" w:hAnsiTheme="minorHAnsi"/>
          <w:sz w:val="18"/>
          <w:szCs w:val="18"/>
        </w:rPr>
      </w:pPr>
    </w:p>
    <w:p w:rsidR="00281946" w:rsidRDefault="00281946" w:rsidP="00553F88">
      <w:pPr>
        <w:ind w:firstLine="0"/>
        <w:rPr>
          <w:b/>
          <w:sz w:val="20"/>
          <w:szCs w:val="20"/>
        </w:rPr>
      </w:pPr>
    </w:p>
    <w:p w:rsidR="00505E2A" w:rsidRDefault="00505E2A" w:rsidP="00553F88">
      <w:pPr>
        <w:ind w:firstLine="0"/>
        <w:rPr>
          <w:b/>
          <w:sz w:val="20"/>
          <w:szCs w:val="20"/>
        </w:rPr>
      </w:pPr>
    </w:p>
    <w:p w:rsidR="00505E2A" w:rsidRPr="00C06054" w:rsidRDefault="00505E2A" w:rsidP="00553F88">
      <w:pPr>
        <w:ind w:firstLine="0"/>
        <w:rPr>
          <w:rFonts w:asciiTheme="minorHAnsi" w:hAnsiTheme="minorHAnsi"/>
          <w:b/>
          <w:sz w:val="20"/>
          <w:szCs w:val="20"/>
        </w:rPr>
      </w:pPr>
    </w:p>
    <w:p w:rsidR="00505E2A" w:rsidRPr="00C06054" w:rsidRDefault="00505E2A" w:rsidP="00553F88">
      <w:pPr>
        <w:ind w:firstLine="0"/>
        <w:rPr>
          <w:rFonts w:asciiTheme="minorHAnsi" w:hAnsiTheme="minorHAnsi"/>
          <w:b/>
          <w:sz w:val="20"/>
          <w:szCs w:val="20"/>
        </w:rPr>
      </w:pPr>
      <w:r w:rsidRPr="00C06054">
        <w:rPr>
          <w:rFonts w:asciiTheme="minorHAnsi" w:hAnsiTheme="minorHAnsi"/>
          <w:b/>
          <w:sz w:val="20"/>
          <w:szCs w:val="20"/>
        </w:rPr>
        <w:t xml:space="preserve">Indice </w:t>
      </w:r>
      <w:proofErr w:type="spellStart"/>
      <w:r w:rsidRPr="00C06054">
        <w:rPr>
          <w:rFonts w:asciiTheme="minorHAnsi" w:hAnsiTheme="minorHAnsi"/>
          <w:b/>
          <w:sz w:val="20"/>
          <w:szCs w:val="20"/>
        </w:rPr>
        <w:t>sintetico*</w:t>
      </w:r>
      <w:proofErr w:type="spellEnd"/>
      <w:r w:rsidRPr="00C06054">
        <w:rPr>
          <w:rFonts w:asciiTheme="minorHAnsi" w:hAnsiTheme="minorHAnsi"/>
          <w:b/>
          <w:sz w:val="20"/>
          <w:szCs w:val="20"/>
        </w:rPr>
        <w:t xml:space="preserve"> delle principali variabili economiche nel M</w:t>
      </w:r>
      <w:r w:rsidR="00553F88">
        <w:rPr>
          <w:rFonts w:asciiTheme="minorHAnsi" w:hAnsiTheme="minorHAnsi"/>
          <w:b/>
          <w:sz w:val="20"/>
          <w:szCs w:val="20"/>
        </w:rPr>
        <w:t>ezzogiorno tra il 2007 e il 2014</w:t>
      </w:r>
    </w:p>
    <w:p w:rsidR="00505E2A" w:rsidRDefault="00505E2A" w:rsidP="00553F88">
      <w:pPr>
        <w:ind w:firstLine="0"/>
        <w:rPr>
          <w:noProof/>
          <w:lang w:eastAsia="it-IT"/>
        </w:rPr>
      </w:pPr>
    </w:p>
    <w:p w:rsidR="00505E2A" w:rsidRDefault="00553F88" w:rsidP="00553F88">
      <w:pPr>
        <w:ind w:firstLine="0"/>
        <w:jc w:val="center"/>
        <w:rPr>
          <w:noProof/>
          <w:lang w:eastAsia="it-IT"/>
        </w:rPr>
      </w:pPr>
      <w:r w:rsidRPr="00553F88">
        <w:rPr>
          <w:noProof/>
          <w:lang w:eastAsia="it-IT"/>
        </w:rPr>
        <w:drawing>
          <wp:inline distT="0" distB="0" distL="0" distR="0">
            <wp:extent cx="6120130" cy="2068066"/>
            <wp:effectExtent l="19050" t="0" r="13970" b="8384"/>
            <wp:docPr id="6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05E2A" w:rsidRDefault="00505E2A" w:rsidP="00553F88">
      <w:pPr>
        <w:ind w:firstLine="0"/>
        <w:rPr>
          <w:sz w:val="18"/>
          <w:szCs w:val="18"/>
        </w:rPr>
      </w:pPr>
    </w:p>
    <w:p w:rsidR="00505E2A" w:rsidRDefault="00505E2A" w:rsidP="00553F88">
      <w:pPr>
        <w:ind w:firstLine="0"/>
        <w:rPr>
          <w:sz w:val="18"/>
          <w:szCs w:val="18"/>
        </w:rPr>
      </w:pPr>
      <w:r>
        <w:rPr>
          <w:sz w:val="18"/>
          <w:szCs w:val="18"/>
        </w:rPr>
        <w:t>*  E’ un indice composito calcolato come somma dei valori indicizzati al 2007 di alcune importanti variabili macroeconomiche: PIL, Investimenti fissi lordi, Imprese attive, Export, Occupati. Ai fini</w:t>
      </w:r>
      <w:r w:rsidR="00553F88">
        <w:rPr>
          <w:sz w:val="18"/>
          <w:szCs w:val="18"/>
        </w:rPr>
        <w:t xml:space="preserve"> del calcolo dell’indice al 2014</w:t>
      </w:r>
      <w:r>
        <w:rPr>
          <w:sz w:val="18"/>
          <w:szCs w:val="18"/>
        </w:rPr>
        <w:t xml:space="preserve">, per tale anno il PIL e gli </w:t>
      </w:r>
      <w:r w:rsidR="00553F88">
        <w:rPr>
          <w:sz w:val="18"/>
          <w:szCs w:val="18"/>
        </w:rPr>
        <w:t>Investimenti sono stati stimati, mentre per l’occupazione e le imprese è stato preso l’ultimo dato disponibile.</w:t>
      </w:r>
    </w:p>
    <w:p w:rsidR="00505E2A" w:rsidRDefault="00505E2A" w:rsidP="00553F88">
      <w:pPr>
        <w:ind w:firstLine="0"/>
        <w:rPr>
          <w:sz w:val="18"/>
          <w:szCs w:val="18"/>
        </w:rPr>
      </w:pPr>
      <w:r>
        <w:rPr>
          <w:sz w:val="18"/>
          <w:szCs w:val="18"/>
        </w:rPr>
        <w:t>Fonte: Elaborazione Confindustria e SRM su fonti varie</w:t>
      </w:r>
    </w:p>
    <w:p w:rsidR="00505E2A" w:rsidRDefault="00505E2A" w:rsidP="00553F88">
      <w:pPr>
        <w:ind w:firstLine="0"/>
        <w:rPr>
          <w:sz w:val="18"/>
          <w:szCs w:val="18"/>
        </w:rPr>
      </w:pPr>
    </w:p>
    <w:p w:rsidR="00505E2A" w:rsidRPr="00C06054" w:rsidRDefault="00505E2A" w:rsidP="00553F88">
      <w:pPr>
        <w:ind w:firstLine="0"/>
        <w:rPr>
          <w:b/>
          <w:sz w:val="20"/>
          <w:szCs w:val="20"/>
        </w:rPr>
      </w:pPr>
    </w:p>
    <w:p w:rsidR="00505E2A" w:rsidRPr="00C06054" w:rsidRDefault="00505E2A" w:rsidP="00553F88">
      <w:pPr>
        <w:ind w:firstLine="0"/>
        <w:rPr>
          <w:b/>
          <w:sz w:val="20"/>
          <w:szCs w:val="20"/>
        </w:rPr>
      </w:pPr>
      <w:r w:rsidRPr="00C06054">
        <w:rPr>
          <w:b/>
          <w:sz w:val="20"/>
          <w:szCs w:val="20"/>
        </w:rPr>
        <w:t>La composizione dell’</w:t>
      </w:r>
      <w:proofErr w:type="spellStart"/>
      <w:r w:rsidRPr="00C06054">
        <w:rPr>
          <w:b/>
          <w:sz w:val="20"/>
          <w:szCs w:val="20"/>
        </w:rPr>
        <w:t>indice*</w:t>
      </w:r>
      <w:proofErr w:type="spellEnd"/>
    </w:p>
    <w:p w:rsidR="00505E2A" w:rsidRDefault="00553F88" w:rsidP="00553F88">
      <w:pPr>
        <w:tabs>
          <w:tab w:val="left" w:pos="1215"/>
        </w:tabs>
        <w:ind w:firstLine="0"/>
      </w:pPr>
      <w:r w:rsidRPr="00553F88">
        <w:rPr>
          <w:noProof/>
          <w:lang w:eastAsia="it-IT"/>
        </w:rPr>
        <w:drawing>
          <wp:inline distT="0" distB="0" distL="0" distR="0">
            <wp:extent cx="6120130" cy="2171700"/>
            <wp:effectExtent l="19050" t="0" r="13970" b="0"/>
            <wp:docPr id="7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05E2A" w:rsidRDefault="00505E2A" w:rsidP="00553F88">
      <w:pPr>
        <w:ind w:firstLine="0"/>
        <w:rPr>
          <w:sz w:val="18"/>
          <w:szCs w:val="18"/>
        </w:rPr>
      </w:pPr>
      <w:r>
        <w:t xml:space="preserve">   F</w:t>
      </w:r>
      <w:r>
        <w:rPr>
          <w:sz w:val="18"/>
          <w:szCs w:val="18"/>
        </w:rPr>
        <w:t>onte: Elaborazione Confindustria e SRM su fonti varie</w:t>
      </w:r>
    </w:p>
    <w:p w:rsidR="00505E2A" w:rsidRDefault="00505E2A" w:rsidP="00553F88">
      <w:pPr>
        <w:ind w:firstLine="0"/>
        <w:rPr>
          <w:b/>
          <w:sz w:val="20"/>
          <w:szCs w:val="20"/>
        </w:rPr>
      </w:pPr>
    </w:p>
    <w:p w:rsidR="002D29BB" w:rsidRDefault="002D29BB" w:rsidP="00553F88">
      <w:pPr>
        <w:ind w:firstLine="0"/>
        <w:rPr>
          <w:b/>
          <w:sz w:val="20"/>
          <w:szCs w:val="20"/>
        </w:rPr>
      </w:pPr>
    </w:p>
    <w:p w:rsidR="005324C2" w:rsidRDefault="005324C2" w:rsidP="00553F88">
      <w:pPr>
        <w:ind w:firstLine="0"/>
        <w:rPr>
          <w:b/>
          <w:sz w:val="20"/>
          <w:szCs w:val="20"/>
        </w:rPr>
      </w:pPr>
    </w:p>
    <w:p w:rsidR="005324C2" w:rsidRDefault="005324C2" w:rsidP="00553F88">
      <w:pPr>
        <w:ind w:firstLine="0"/>
        <w:rPr>
          <w:b/>
          <w:sz w:val="20"/>
          <w:szCs w:val="20"/>
        </w:rPr>
      </w:pPr>
    </w:p>
    <w:p w:rsidR="00067E67" w:rsidRDefault="00067E67" w:rsidP="00553F88">
      <w:pPr>
        <w:ind w:firstLine="0"/>
        <w:rPr>
          <w:b/>
          <w:sz w:val="20"/>
          <w:szCs w:val="20"/>
        </w:rPr>
      </w:pPr>
    </w:p>
    <w:p w:rsidR="00067E67" w:rsidRDefault="00067E67" w:rsidP="00553F88">
      <w:pPr>
        <w:ind w:firstLine="0"/>
        <w:rPr>
          <w:b/>
          <w:sz w:val="20"/>
          <w:szCs w:val="20"/>
        </w:rPr>
      </w:pPr>
    </w:p>
    <w:p w:rsidR="00067E67" w:rsidRDefault="00067E67" w:rsidP="00553F88">
      <w:pPr>
        <w:ind w:firstLine="0"/>
        <w:rPr>
          <w:b/>
          <w:sz w:val="20"/>
          <w:szCs w:val="20"/>
        </w:rPr>
      </w:pPr>
    </w:p>
    <w:p w:rsidR="00067E67" w:rsidRDefault="00067E67" w:rsidP="00553F88">
      <w:pPr>
        <w:ind w:firstLine="0"/>
        <w:rPr>
          <w:b/>
          <w:sz w:val="20"/>
          <w:szCs w:val="20"/>
        </w:rPr>
      </w:pPr>
    </w:p>
    <w:p w:rsidR="005324C2" w:rsidRDefault="005324C2" w:rsidP="00553F88">
      <w:pPr>
        <w:ind w:firstLine="0"/>
        <w:rPr>
          <w:b/>
          <w:sz w:val="20"/>
          <w:szCs w:val="20"/>
        </w:rPr>
      </w:pPr>
    </w:p>
    <w:p w:rsidR="00C06054" w:rsidRDefault="00C06054" w:rsidP="00553F88">
      <w:pPr>
        <w:ind w:firstLine="0"/>
        <w:rPr>
          <w:b/>
          <w:sz w:val="20"/>
          <w:szCs w:val="20"/>
        </w:rPr>
      </w:pPr>
    </w:p>
    <w:p w:rsidR="006B6414" w:rsidRPr="00E52565" w:rsidRDefault="006B6414" w:rsidP="00553F88">
      <w:pPr>
        <w:ind w:firstLine="0"/>
        <w:rPr>
          <w:b/>
          <w:sz w:val="20"/>
          <w:szCs w:val="20"/>
        </w:rPr>
      </w:pPr>
      <w:r w:rsidRPr="00E52565">
        <w:rPr>
          <w:b/>
          <w:sz w:val="20"/>
          <w:szCs w:val="20"/>
        </w:rPr>
        <w:lastRenderedPageBreak/>
        <w:t>Diff</w:t>
      </w:r>
      <w:r w:rsidR="00067E67">
        <w:rPr>
          <w:b/>
          <w:sz w:val="20"/>
          <w:szCs w:val="20"/>
        </w:rPr>
        <w:t>erenza in valore tra 2007 e 2014</w:t>
      </w:r>
      <w:r w:rsidRPr="00E52565">
        <w:rPr>
          <w:b/>
          <w:sz w:val="20"/>
          <w:szCs w:val="20"/>
        </w:rPr>
        <w:t xml:space="preserve"> delle principali variabili economiche nel Mezzogiorno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832"/>
        <w:gridCol w:w="1077"/>
        <w:gridCol w:w="1562"/>
        <w:gridCol w:w="1064"/>
        <w:gridCol w:w="1078"/>
        <w:gridCol w:w="1604"/>
        <w:gridCol w:w="1561"/>
      </w:tblGrid>
      <w:tr w:rsidR="00553F88" w:rsidRPr="0075194D" w:rsidTr="00067E67">
        <w:trPr>
          <w:trHeight w:val="396"/>
        </w:trPr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F88" w:rsidRPr="0075194D" w:rsidRDefault="00553F88" w:rsidP="00C650D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75194D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F88" w:rsidRPr="00E42F2E" w:rsidRDefault="00553F88" w:rsidP="00C650DC">
            <w:pPr>
              <w:ind w:firstLine="0"/>
              <w:jc w:val="center"/>
              <w:rPr>
                <w:rFonts w:eastAsia="Times New Roman"/>
                <w:color w:val="000000"/>
                <w:sz w:val="19"/>
                <w:szCs w:val="19"/>
                <w:lang w:eastAsia="it-IT"/>
              </w:rPr>
            </w:pPr>
            <w:r w:rsidRPr="00E42F2E">
              <w:rPr>
                <w:rFonts w:eastAsia="Times New Roman"/>
                <w:color w:val="000000"/>
                <w:sz w:val="19"/>
                <w:szCs w:val="19"/>
                <w:lang w:eastAsia="it-IT"/>
              </w:rPr>
              <w:t>Pil (miliardi di €)*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F88" w:rsidRPr="00E42F2E" w:rsidRDefault="00553F88" w:rsidP="00C650DC">
            <w:pPr>
              <w:ind w:firstLine="0"/>
              <w:jc w:val="center"/>
              <w:rPr>
                <w:rFonts w:eastAsia="Times New Roman"/>
                <w:color w:val="000000"/>
                <w:sz w:val="19"/>
                <w:szCs w:val="19"/>
                <w:lang w:eastAsia="it-IT"/>
              </w:rPr>
            </w:pPr>
            <w:r w:rsidRPr="00E42F2E">
              <w:rPr>
                <w:rFonts w:eastAsia="Times New Roman"/>
                <w:color w:val="000000"/>
                <w:sz w:val="19"/>
                <w:szCs w:val="19"/>
                <w:lang w:eastAsia="it-IT"/>
              </w:rPr>
              <w:t>Investimenti (miliardi di €)*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F88" w:rsidRPr="00E42F2E" w:rsidRDefault="00553F88" w:rsidP="00C650DC">
            <w:pPr>
              <w:ind w:firstLine="0"/>
              <w:jc w:val="center"/>
              <w:rPr>
                <w:rFonts w:eastAsia="Times New Roman"/>
                <w:color w:val="000000"/>
                <w:sz w:val="19"/>
                <w:szCs w:val="19"/>
                <w:lang w:eastAsia="it-IT"/>
              </w:rPr>
            </w:pPr>
            <w:r w:rsidRPr="00E42F2E">
              <w:rPr>
                <w:rFonts w:eastAsia="Times New Roman"/>
                <w:color w:val="000000"/>
                <w:sz w:val="19"/>
                <w:szCs w:val="19"/>
                <w:lang w:eastAsia="it-IT"/>
              </w:rPr>
              <w:t>Imprese (unità)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F88" w:rsidRPr="00E42F2E" w:rsidRDefault="00553F88" w:rsidP="00C650DC">
            <w:pPr>
              <w:ind w:firstLine="0"/>
              <w:jc w:val="center"/>
              <w:rPr>
                <w:rFonts w:eastAsia="Times New Roman"/>
                <w:color w:val="000000"/>
                <w:sz w:val="19"/>
                <w:szCs w:val="19"/>
                <w:lang w:eastAsia="it-IT"/>
              </w:rPr>
            </w:pPr>
            <w:r w:rsidRPr="00E42F2E">
              <w:rPr>
                <w:rFonts w:eastAsia="Times New Roman"/>
                <w:color w:val="000000"/>
                <w:sz w:val="19"/>
                <w:szCs w:val="19"/>
                <w:lang w:eastAsia="it-IT"/>
              </w:rPr>
              <w:t>Export (miliardi di euro)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F88" w:rsidRPr="00E42F2E" w:rsidRDefault="00553F88" w:rsidP="00C650DC">
            <w:pPr>
              <w:ind w:firstLine="0"/>
              <w:jc w:val="center"/>
              <w:rPr>
                <w:rFonts w:eastAsia="Times New Roman"/>
                <w:color w:val="000000"/>
                <w:sz w:val="19"/>
                <w:szCs w:val="19"/>
                <w:lang w:eastAsia="it-IT"/>
              </w:rPr>
            </w:pPr>
            <w:r w:rsidRPr="00E42F2E">
              <w:rPr>
                <w:rFonts w:eastAsia="Times New Roman"/>
                <w:color w:val="000000"/>
                <w:sz w:val="19"/>
                <w:szCs w:val="19"/>
                <w:lang w:eastAsia="it-IT"/>
              </w:rPr>
              <w:t>Occupazione (migliaia di lavoratori)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F88" w:rsidRPr="00E42F2E" w:rsidRDefault="00553F88" w:rsidP="00C650DC">
            <w:pPr>
              <w:ind w:firstLine="0"/>
              <w:jc w:val="center"/>
              <w:rPr>
                <w:rFonts w:eastAsia="Times New Roman"/>
                <w:color w:val="000000"/>
                <w:sz w:val="19"/>
                <w:szCs w:val="19"/>
                <w:lang w:eastAsia="it-IT"/>
              </w:rPr>
            </w:pPr>
            <w:r w:rsidRPr="00E42F2E">
              <w:rPr>
                <w:rFonts w:eastAsia="Times New Roman"/>
                <w:color w:val="000000"/>
                <w:sz w:val="19"/>
                <w:szCs w:val="19"/>
                <w:lang w:eastAsia="it-IT"/>
              </w:rPr>
              <w:t>Cassa integrazione (milioni di ore)</w:t>
            </w:r>
          </w:p>
        </w:tc>
      </w:tr>
      <w:tr w:rsidR="00553F88" w:rsidRPr="0075194D" w:rsidTr="00067E67">
        <w:trPr>
          <w:trHeight w:val="70"/>
        </w:trPr>
        <w:tc>
          <w:tcPr>
            <w:tcW w:w="9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F88" w:rsidRPr="0075194D" w:rsidRDefault="00553F88" w:rsidP="00C650D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3F88" w:rsidRPr="0075194D" w:rsidRDefault="00553F88" w:rsidP="00C650D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3F88" w:rsidRPr="0075194D" w:rsidRDefault="00553F88" w:rsidP="00C650D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3F88" w:rsidRPr="0075194D" w:rsidRDefault="00553F88" w:rsidP="00C650D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3F88" w:rsidRPr="0075194D" w:rsidRDefault="00553F88" w:rsidP="00C650D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3F88" w:rsidRPr="0075194D" w:rsidRDefault="00553F88" w:rsidP="00C650D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3F88" w:rsidRPr="0075194D" w:rsidRDefault="00553F88" w:rsidP="00C650D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553F88" w:rsidRPr="0075194D" w:rsidTr="00067E67">
        <w:trPr>
          <w:trHeight w:val="70"/>
        </w:trPr>
        <w:tc>
          <w:tcPr>
            <w:tcW w:w="9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F88" w:rsidRPr="00E42F2E" w:rsidRDefault="00553F88" w:rsidP="00C650DC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42F2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Diff</w:t>
            </w:r>
            <w:proofErr w:type="spellEnd"/>
            <w:r w:rsidRPr="00E42F2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. 2014 su 2007</w:t>
            </w:r>
          </w:p>
        </w:tc>
        <w:tc>
          <w:tcPr>
            <w:tcW w:w="55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F88" w:rsidRPr="00E42F2E" w:rsidRDefault="00553F88" w:rsidP="00C650D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42F2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-51,6</w:t>
            </w:r>
          </w:p>
        </w:tc>
        <w:tc>
          <w:tcPr>
            <w:tcW w:w="79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F88" w:rsidRPr="00E42F2E" w:rsidRDefault="00553F88" w:rsidP="00C650D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42F2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-28,9</w:t>
            </w:r>
          </w:p>
        </w:tc>
        <w:tc>
          <w:tcPr>
            <w:tcW w:w="54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F88" w:rsidRPr="00E42F2E" w:rsidRDefault="00553F88" w:rsidP="00C650D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42F2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-40.695</w:t>
            </w:r>
          </w:p>
        </w:tc>
        <w:tc>
          <w:tcPr>
            <w:tcW w:w="55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F88" w:rsidRPr="00E42F2E" w:rsidRDefault="00553F88" w:rsidP="00C650D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42F2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-0,9</w:t>
            </w:r>
          </w:p>
        </w:tc>
        <w:tc>
          <w:tcPr>
            <w:tcW w:w="82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F88" w:rsidRPr="00E42F2E" w:rsidRDefault="00553F88" w:rsidP="00C650D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42F2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-696,9</w:t>
            </w:r>
          </w:p>
        </w:tc>
        <w:tc>
          <w:tcPr>
            <w:tcW w:w="79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F88" w:rsidRPr="00E42F2E" w:rsidRDefault="00553F88" w:rsidP="00C650D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42F2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-</w:t>
            </w:r>
          </w:p>
        </w:tc>
      </w:tr>
      <w:tr w:rsidR="00553F88" w:rsidRPr="0075194D" w:rsidTr="00067E67">
        <w:trPr>
          <w:trHeight w:val="70"/>
        </w:trPr>
        <w:tc>
          <w:tcPr>
            <w:tcW w:w="9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F88" w:rsidRPr="00E42F2E" w:rsidRDefault="00553F88" w:rsidP="00C650DC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42F2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Diff</w:t>
            </w:r>
            <w:proofErr w:type="spellEnd"/>
            <w:r w:rsidRPr="00E42F2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. 2013 su 2007</w:t>
            </w:r>
          </w:p>
        </w:tc>
        <w:tc>
          <w:tcPr>
            <w:tcW w:w="55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F88" w:rsidRPr="00E42F2E" w:rsidRDefault="00553F88" w:rsidP="00C650D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42F2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-47,0</w:t>
            </w:r>
          </w:p>
        </w:tc>
        <w:tc>
          <w:tcPr>
            <w:tcW w:w="79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F88" w:rsidRPr="00E42F2E" w:rsidRDefault="00553F88" w:rsidP="00C650D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42F2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-26,6</w:t>
            </w:r>
          </w:p>
        </w:tc>
        <w:tc>
          <w:tcPr>
            <w:tcW w:w="54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F88" w:rsidRPr="00E42F2E" w:rsidRDefault="00553F88" w:rsidP="00C650D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42F2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-31.641</w:t>
            </w:r>
          </w:p>
        </w:tc>
        <w:tc>
          <w:tcPr>
            <w:tcW w:w="55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F88" w:rsidRPr="00E42F2E" w:rsidRDefault="00553F88" w:rsidP="00C650D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42F2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1,0</w:t>
            </w:r>
          </w:p>
        </w:tc>
        <w:tc>
          <w:tcPr>
            <w:tcW w:w="82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F88" w:rsidRPr="00E42F2E" w:rsidRDefault="00553F88" w:rsidP="00C650D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42F2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-616,9</w:t>
            </w:r>
          </w:p>
        </w:tc>
        <w:tc>
          <w:tcPr>
            <w:tcW w:w="79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F88" w:rsidRPr="00E42F2E" w:rsidRDefault="00553F88" w:rsidP="00C650D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42F2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217,2</w:t>
            </w:r>
          </w:p>
        </w:tc>
      </w:tr>
      <w:tr w:rsidR="00553F88" w:rsidRPr="0075194D" w:rsidTr="00067E67">
        <w:trPr>
          <w:trHeight w:val="153"/>
        </w:trPr>
        <w:tc>
          <w:tcPr>
            <w:tcW w:w="9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F88" w:rsidRPr="00E42F2E" w:rsidRDefault="00553F88" w:rsidP="00C650DC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42F2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Diff</w:t>
            </w:r>
            <w:proofErr w:type="spellEnd"/>
            <w:r w:rsidRPr="00E42F2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. 2012 su 2007</w:t>
            </w:r>
          </w:p>
        </w:tc>
        <w:tc>
          <w:tcPr>
            <w:tcW w:w="55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3F88" w:rsidRPr="00E42F2E" w:rsidRDefault="00553F88" w:rsidP="00C650D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42F2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-35,9</w:t>
            </w:r>
          </w:p>
        </w:tc>
        <w:tc>
          <w:tcPr>
            <w:tcW w:w="79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3F88" w:rsidRPr="00E42F2E" w:rsidRDefault="00553F88" w:rsidP="00C650D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42F2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-23,7</w:t>
            </w:r>
          </w:p>
        </w:tc>
        <w:tc>
          <w:tcPr>
            <w:tcW w:w="54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3F88" w:rsidRPr="00E42F2E" w:rsidRDefault="00553F88" w:rsidP="00C650D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42F2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-15.085</w:t>
            </w:r>
          </w:p>
        </w:tc>
        <w:tc>
          <w:tcPr>
            <w:tcW w:w="55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3F88" w:rsidRPr="00E42F2E" w:rsidRDefault="00553F88" w:rsidP="00C650D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42F2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4,9</w:t>
            </w:r>
          </w:p>
        </w:tc>
        <w:tc>
          <w:tcPr>
            <w:tcW w:w="82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3F88" w:rsidRPr="00E42F2E" w:rsidRDefault="00553F88" w:rsidP="00C650D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42F2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-335,5</w:t>
            </w:r>
          </w:p>
        </w:tc>
        <w:tc>
          <w:tcPr>
            <w:tcW w:w="79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3F88" w:rsidRPr="00E42F2E" w:rsidRDefault="00553F88" w:rsidP="00C650D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42F2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200,5</w:t>
            </w:r>
          </w:p>
        </w:tc>
      </w:tr>
      <w:tr w:rsidR="00553F88" w:rsidRPr="0075194D" w:rsidTr="00067E67">
        <w:trPr>
          <w:trHeight w:val="153"/>
        </w:trPr>
        <w:tc>
          <w:tcPr>
            <w:tcW w:w="9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F88" w:rsidRPr="00E42F2E" w:rsidRDefault="00553F88" w:rsidP="00C650DC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42F2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Diff</w:t>
            </w:r>
            <w:proofErr w:type="spellEnd"/>
            <w:r w:rsidRPr="00E42F2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. 2011 su 2007</w:t>
            </w:r>
          </w:p>
        </w:tc>
        <w:tc>
          <w:tcPr>
            <w:tcW w:w="55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3F88" w:rsidRPr="00E42F2E" w:rsidRDefault="00553F88" w:rsidP="00C650D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42F2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-25,6</w:t>
            </w:r>
          </w:p>
        </w:tc>
        <w:tc>
          <w:tcPr>
            <w:tcW w:w="79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3F88" w:rsidRPr="00E42F2E" w:rsidRDefault="00553F88" w:rsidP="00C650D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42F2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-19,0</w:t>
            </w:r>
          </w:p>
        </w:tc>
        <w:tc>
          <w:tcPr>
            <w:tcW w:w="54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3F88" w:rsidRPr="00E42F2E" w:rsidRDefault="00553F88" w:rsidP="00C650D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42F2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-4.507</w:t>
            </w:r>
          </w:p>
        </w:tc>
        <w:tc>
          <w:tcPr>
            <w:tcW w:w="55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3F88" w:rsidRPr="00E42F2E" w:rsidRDefault="00553F88" w:rsidP="00C650D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42F2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1,5</w:t>
            </w:r>
          </w:p>
        </w:tc>
        <w:tc>
          <w:tcPr>
            <w:tcW w:w="82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3F88" w:rsidRPr="00E42F2E" w:rsidRDefault="00553F88" w:rsidP="00C650D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42F2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-300,2</w:t>
            </w:r>
          </w:p>
        </w:tc>
        <w:tc>
          <w:tcPr>
            <w:tcW w:w="79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3F88" w:rsidRPr="00E42F2E" w:rsidRDefault="00553F88" w:rsidP="00C650D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42F2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168,6</w:t>
            </w:r>
          </w:p>
        </w:tc>
      </w:tr>
      <w:tr w:rsidR="00553F88" w:rsidRPr="0075194D" w:rsidTr="00067E67">
        <w:trPr>
          <w:trHeight w:val="153"/>
        </w:trPr>
        <w:tc>
          <w:tcPr>
            <w:tcW w:w="9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F88" w:rsidRPr="00E42F2E" w:rsidRDefault="00553F88" w:rsidP="00C650DC">
            <w:pPr>
              <w:ind w:firstLine="0"/>
              <w:jc w:val="left"/>
              <w:rPr>
                <w:rFonts w:eastAsia="Times New Roman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E42F2E">
              <w:rPr>
                <w:rFonts w:eastAsia="Times New Roman"/>
                <w:bCs/>
                <w:i/>
                <w:color w:val="000000"/>
                <w:sz w:val="18"/>
                <w:szCs w:val="18"/>
                <w:lang w:eastAsia="it-IT"/>
              </w:rPr>
              <w:t xml:space="preserve">  Dinamica ultimo anno</w:t>
            </w:r>
          </w:p>
        </w:tc>
        <w:tc>
          <w:tcPr>
            <w:tcW w:w="55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F88" w:rsidRPr="00E42F2E" w:rsidRDefault="00553F88" w:rsidP="00C650D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9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F88" w:rsidRPr="00E42F2E" w:rsidRDefault="00553F88" w:rsidP="00C650D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F88" w:rsidRPr="00E42F2E" w:rsidRDefault="00553F88" w:rsidP="00C650D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5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F88" w:rsidRPr="00E42F2E" w:rsidRDefault="00553F88" w:rsidP="00C650D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F88" w:rsidRPr="00E42F2E" w:rsidRDefault="00553F88" w:rsidP="00C650D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9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F88" w:rsidRPr="00E42F2E" w:rsidRDefault="00553F88" w:rsidP="00C650D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553F88" w:rsidRPr="0075194D" w:rsidTr="00067E67">
        <w:trPr>
          <w:trHeight w:val="153"/>
        </w:trPr>
        <w:tc>
          <w:tcPr>
            <w:tcW w:w="9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F88" w:rsidRPr="00E42F2E" w:rsidRDefault="00553F88" w:rsidP="00C650DC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42F2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Diff</w:t>
            </w:r>
            <w:proofErr w:type="spellEnd"/>
            <w:r w:rsidRPr="00E42F2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. 2014 su 2013</w:t>
            </w:r>
          </w:p>
        </w:tc>
        <w:tc>
          <w:tcPr>
            <w:tcW w:w="55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3F88" w:rsidRPr="00E42F2E" w:rsidRDefault="00553F88" w:rsidP="00C650D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42F2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-4,5</w:t>
            </w:r>
          </w:p>
        </w:tc>
        <w:tc>
          <w:tcPr>
            <w:tcW w:w="79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3F88" w:rsidRPr="00E42F2E" w:rsidRDefault="00553F88" w:rsidP="00C650D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42F2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-2,2</w:t>
            </w:r>
          </w:p>
        </w:tc>
        <w:tc>
          <w:tcPr>
            <w:tcW w:w="54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3F88" w:rsidRPr="00E42F2E" w:rsidRDefault="00553F88" w:rsidP="00C650D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42F2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-9.054</w:t>
            </w:r>
          </w:p>
        </w:tc>
        <w:tc>
          <w:tcPr>
            <w:tcW w:w="55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3F88" w:rsidRPr="00E42F2E" w:rsidRDefault="00553F88" w:rsidP="00C650D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42F2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-1,9</w:t>
            </w:r>
          </w:p>
        </w:tc>
        <w:tc>
          <w:tcPr>
            <w:tcW w:w="82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3F88" w:rsidRPr="00E42F2E" w:rsidRDefault="00553F88" w:rsidP="00C650D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42F2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-80,0</w:t>
            </w:r>
          </w:p>
        </w:tc>
        <w:tc>
          <w:tcPr>
            <w:tcW w:w="79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3F88" w:rsidRPr="00E42F2E" w:rsidRDefault="00553F88" w:rsidP="00C650D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42F2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16,7**</w:t>
            </w:r>
          </w:p>
        </w:tc>
      </w:tr>
      <w:tr w:rsidR="00553F88" w:rsidRPr="0075194D" w:rsidTr="00067E67">
        <w:trPr>
          <w:trHeight w:val="153"/>
        </w:trPr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F88" w:rsidRPr="00E42F2E" w:rsidRDefault="00553F88" w:rsidP="00C650DC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42F2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Var. % 2014 su 2013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F88" w:rsidRPr="00E42F2E" w:rsidRDefault="00553F88" w:rsidP="00C650D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42F2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-1,5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F88" w:rsidRPr="00E42F2E" w:rsidRDefault="00553F88" w:rsidP="00C650D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42F2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-4,2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F88" w:rsidRPr="00E42F2E" w:rsidRDefault="00553F88" w:rsidP="00C650D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42F2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-0,5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F88" w:rsidRPr="00E42F2E" w:rsidRDefault="00553F88" w:rsidP="00C650D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42F2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-4,5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F88" w:rsidRPr="00E42F2E" w:rsidRDefault="00553F88" w:rsidP="00C650D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42F2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-1,4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F88" w:rsidRPr="00E42F2E" w:rsidRDefault="00553F88" w:rsidP="00C650D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42F2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6,3**</w:t>
            </w:r>
          </w:p>
        </w:tc>
      </w:tr>
    </w:tbl>
    <w:p w:rsidR="006B6414" w:rsidRDefault="006B6414" w:rsidP="00553F88">
      <w:pPr>
        <w:ind w:firstLine="0"/>
        <w:rPr>
          <w:sz w:val="18"/>
          <w:szCs w:val="18"/>
        </w:rPr>
      </w:pPr>
      <w:r>
        <w:rPr>
          <w:sz w:val="18"/>
          <w:szCs w:val="18"/>
        </w:rPr>
        <w:t>* Per quanto riguarda il PIL e gli Investimenti le differenze sono state calcolate sui rispettivi valori concatenati (con base al 2005); per entrambe le variab</w:t>
      </w:r>
      <w:r w:rsidR="00553F88">
        <w:rPr>
          <w:sz w:val="18"/>
          <w:szCs w:val="18"/>
        </w:rPr>
        <w:t>ili, il valore ufficiale al 2014</w:t>
      </w:r>
      <w:r>
        <w:rPr>
          <w:sz w:val="18"/>
          <w:szCs w:val="18"/>
        </w:rPr>
        <w:t xml:space="preserve"> non è stato ancora pubblicato, per cui il relativo valore è stato sti</w:t>
      </w:r>
      <w:r w:rsidR="00553F88">
        <w:rPr>
          <w:sz w:val="18"/>
          <w:szCs w:val="18"/>
        </w:rPr>
        <w:t xml:space="preserve">mato sulla base </w:t>
      </w:r>
      <w:r>
        <w:rPr>
          <w:sz w:val="18"/>
          <w:szCs w:val="18"/>
        </w:rPr>
        <w:t xml:space="preserve">delle previsioni </w:t>
      </w:r>
      <w:proofErr w:type="spellStart"/>
      <w:r>
        <w:rPr>
          <w:sz w:val="18"/>
          <w:szCs w:val="18"/>
        </w:rPr>
        <w:t>Svimez</w:t>
      </w:r>
      <w:proofErr w:type="spellEnd"/>
      <w:r>
        <w:rPr>
          <w:sz w:val="18"/>
          <w:szCs w:val="18"/>
        </w:rPr>
        <w:t xml:space="preserve"> (ottobre 2013)</w:t>
      </w:r>
    </w:p>
    <w:p w:rsidR="006B6414" w:rsidRPr="00720E36" w:rsidRDefault="006B6414" w:rsidP="00553F88">
      <w:pPr>
        <w:ind w:firstLine="0"/>
        <w:rPr>
          <w:sz w:val="18"/>
          <w:szCs w:val="18"/>
        </w:rPr>
      </w:pPr>
      <w:r>
        <w:rPr>
          <w:sz w:val="18"/>
          <w:szCs w:val="18"/>
        </w:rPr>
        <w:t>Fonte: E</w:t>
      </w:r>
      <w:r w:rsidRPr="00720E36">
        <w:rPr>
          <w:sz w:val="18"/>
          <w:szCs w:val="18"/>
        </w:rPr>
        <w:t xml:space="preserve">laborazione Confindustria </w:t>
      </w:r>
      <w:r>
        <w:rPr>
          <w:sz w:val="18"/>
          <w:szCs w:val="18"/>
        </w:rPr>
        <w:t xml:space="preserve">e </w:t>
      </w:r>
      <w:r w:rsidRPr="00720E36">
        <w:rPr>
          <w:sz w:val="18"/>
          <w:szCs w:val="18"/>
        </w:rPr>
        <w:t xml:space="preserve">SRM </w:t>
      </w:r>
      <w:r>
        <w:rPr>
          <w:sz w:val="18"/>
          <w:szCs w:val="18"/>
        </w:rPr>
        <w:t>s</w:t>
      </w:r>
      <w:r w:rsidRPr="00720E36">
        <w:rPr>
          <w:sz w:val="18"/>
          <w:szCs w:val="18"/>
        </w:rPr>
        <w:t>u fonti varie</w:t>
      </w:r>
    </w:p>
    <w:p w:rsidR="00A433F4" w:rsidRDefault="00A433F4" w:rsidP="00553F88">
      <w:pPr>
        <w:ind w:firstLine="0"/>
      </w:pPr>
    </w:p>
    <w:p w:rsidR="00A94541" w:rsidRDefault="00A94541" w:rsidP="00553F88">
      <w:pPr>
        <w:ind w:firstLine="0"/>
      </w:pPr>
    </w:p>
    <w:p w:rsidR="00553F88" w:rsidRDefault="00553F88" w:rsidP="00553F88">
      <w:pPr>
        <w:ind w:firstLine="0"/>
      </w:pPr>
    </w:p>
    <w:p w:rsidR="00427062" w:rsidRPr="00667A67" w:rsidRDefault="00427062" w:rsidP="00553F88">
      <w:pPr>
        <w:ind w:firstLine="0"/>
        <w:jc w:val="left"/>
        <w:rPr>
          <w:b/>
          <w:sz w:val="20"/>
          <w:szCs w:val="20"/>
        </w:rPr>
      </w:pPr>
      <w:r w:rsidRPr="00667A67">
        <w:rPr>
          <w:b/>
          <w:sz w:val="20"/>
          <w:szCs w:val="20"/>
        </w:rPr>
        <w:t>Andamento delle esportazioni tra il 2007 ed il 2013 (valori in miliardi di euro)</w:t>
      </w:r>
    </w:p>
    <w:tbl>
      <w:tblPr>
        <w:tblW w:w="1041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"/>
        <w:gridCol w:w="1194"/>
        <w:gridCol w:w="47"/>
        <w:gridCol w:w="773"/>
        <w:gridCol w:w="34"/>
        <w:gridCol w:w="25"/>
        <w:gridCol w:w="694"/>
        <w:gridCol w:w="135"/>
        <w:gridCol w:w="9"/>
        <w:gridCol w:w="609"/>
        <w:gridCol w:w="229"/>
        <w:gridCol w:w="7"/>
        <w:gridCol w:w="517"/>
        <w:gridCol w:w="314"/>
        <w:gridCol w:w="23"/>
        <w:gridCol w:w="416"/>
        <w:gridCol w:w="298"/>
        <w:gridCol w:w="140"/>
        <w:gridCol w:w="315"/>
        <w:gridCol w:w="513"/>
        <w:gridCol w:w="62"/>
        <w:gridCol w:w="178"/>
        <w:gridCol w:w="335"/>
        <w:gridCol w:w="18"/>
        <w:gridCol w:w="400"/>
        <w:gridCol w:w="824"/>
        <w:gridCol w:w="396"/>
        <w:gridCol w:w="208"/>
        <w:gridCol w:w="638"/>
        <w:gridCol w:w="357"/>
        <w:gridCol w:w="357"/>
        <w:gridCol w:w="281"/>
      </w:tblGrid>
      <w:tr w:rsidR="00427062" w:rsidRPr="00667A67" w:rsidTr="00067E67">
        <w:trPr>
          <w:gridAfter w:val="1"/>
          <w:wAfter w:w="281" w:type="dxa"/>
          <w:trHeight w:val="295"/>
        </w:trPr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062" w:rsidRPr="00667A67" w:rsidRDefault="00427062" w:rsidP="00553F88">
            <w:pPr>
              <w:spacing w:after="200" w:line="276" w:lineRule="auto"/>
              <w:ind w:firstLine="0"/>
              <w:jc w:val="lef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062" w:rsidRPr="00667A67" w:rsidRDefault="00427062" w:rsidP="00553F88">
            <w:pPr>
              <w:ind w:firstLine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062" w:rsidRPr="00667A67" w:rsidRDefault="00427062" w:rsidP="00553F88">
            <w:pPr>
              <w:ind w:firstLine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062" w:rsidRPr="00667A67" w:rsidRDefault="00427062" w:rsidP="00553F88">
            <w:pPr>
              <w:ind w:firstLine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062" w:rsidRPr="00667A67" w:rsidRDefault="00427062" w:rsidP="00553F88">
            <w:pPr>
              <w:ind w:firstLine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062" w:rsidRPr="00667A67" w:rsidRDefault="00427062" w:rsidP="00553F88">
            <w:pPr>
              <w:ind w:firstLine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062" w:rsidRPr="00667A67" w:rsidRDefault="00427062" w:rsidP="00553F88">
            <w:pPr>
              <w:ind w:firstLine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062" w:rsidRPr="00667A67" w:rsidRDefault="00427062" w:rsidP="00553F88">
            <w:pPr>
              <w:ind w:firstLine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062" w:rsidRPr="00667A67" w:rsidRDefault="00427062" w:rsidP="00553F88">
            <w:pPr>
              <w:ind w:right="-212" w:firstLine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062" w:rsidRPr="00667A67" w:rsidRDefault="00427062" w:rsidP="00553F88">
            <w:pPr>
              <w:ind w:firstLine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067E67" w:rsidRPr="00713267" w:rsidTr="00067E67">
        <w:trPr>
          <w:gridBefore w:val="1"/>
          <w:wBefore w:w="70" w:type="dxa"/>
          <w:trHeight w:val="227"/>
        </w:trPr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bCs/>
                <w:color w:val="000000"/>
                <w:sz w:val="18"/>
                <w:szCs w:val="18"/>
                <w:lang w:eastAsia="it-IT"/>
              </w:rPr>
              <w:t>2007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bCs/>
                <w:color w:val="000000"/>
                <w:sz w:val="18"/>
                <w:szCs w:val="18"/>
                <w:lang w:eastAsia="it-IT"/>
              </w:rPr>
              <w:t>2008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bCs/>
                <w:color w:val="000000"/>
                <w:sz w:val="18"/>
                <w:szCs w:val="18"/>
                <w:lang w:eastAsia="it-IT"/>
              </w:rPr>
              <w:t>2009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bCs/>
                <w:color w:val="000000"/>
                <w:sz w:val="18"/>
                <w:szCs w:val="18"/>
                <w:lang w:eastAsia="it-IT"/>
              </w:rPr>
              <w:t>2010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bCs/>
                <w:color w:val="000000"/>
                <w:sz w:val="18"/>
                <w:szCs w:val="18"/>
                <w:lang w:eastAsia="it-IT"/>
              </w:rPr>
              <w:t>2011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bCs/>
                <w:color w:val="000000"/>
                <w:sz w:val="18"/>
                <w:szCs w:val="18"/>
                <w:lang w:eastAsia="it-IT"/>
              </w:rPr>
              <w:t>2012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bCs/>
                <w:color w:val="000000"/>
                <w:sz w:val="18"/>
                <w:szCs w:val="18"/>
                <w:lang w:eastAsia="it-IT"/>
              </w:rPr>
              <w:t>2013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713267">
              <w:rPr>
                <w:rFonts w:eastAsia="Times New Roman" w:cs="Calibri"/>
                <w:bCs/>
                <w:color w:val="000000"/>
                <w:sz w:val="18"/>
                <w:szCs w:val="18"/>
                <w:lang w:eastAsia="it-IT"/>
              </w:rPr>
              <w:t>Var</w:t>
            </w:r>
            <w:proofErr w:type="spellEnd"/>
            <w:r w:rsidRPr="00713267">
              <w:rPr>
                <w:rFonts w:eastAsia="Times New Roman" w:cs="Calibri"/>
                <w:bCs/>
                <w:color w:val="000000"/>
                <w:sz w:val="18"/>
                <w:szCs w:val="18"/>
                <w:lang w:eastAsia="it-IT"/>
              </w:rPr>
              <w:t xml:space="preserve"> % 2013 su 2007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bCs/>
                <w:color w:val="000000"/>
                <w:sz w:val="18"/>
                <w:szCs w:val="18"/>
                <w:lang w:eastAsia="it-IT"/>
              </w:rPr>
              <w:t xml:space="preserve">2014 (I </w:t>
            </w:r>
            <w:proofErr w:type="spellStart"/>
            <w:r w:rsidRPr="00713267">
              <w:rPr>
                <w:rFonts w:eastAsia="Times New Roman" w:cs="Calibri"/>
                <w:bCs/>
                <w:color w:val="000000"/>
                <w:sz w:val="18"/>
                <w:szCs w:val="18"/>
                <w:lang w:eastAsia="it-IT"/>
              </w:rPr>
              <w:t>sem</w:t>
            </w:r>
            <w:proofErr w:type="spellEnd"/>
            <w:r w:rsidRPr="00713267">
              <w:rPr>
                <w:rFonts w:eastAsia="Times New Roman" w:cs="Calibri"/>
                <w:bCs/>
                <w:color w:val="000000"/>
                <w:sz w:val="18"/>
                <w:szCs w:val="18"/>
                <w:lang w:eastAsia="it-IT"/>
              </w:rPr>
              <w:t>.)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713267">
              <w:rPr>
                <w:rFonts w:eastAsia="Times New Roman" w:cs="Calibri"/>
                <w:bCs/>
                <w:color w:val="000000"/>
                <w:sz w:val="18"/>
                <w:szCs w:val="18"/>
                <w:lang w:eastAsia="it-IT"/>
              </w:rPr>
              <w:t>Var</w:t>
            </w:r>
            <w:proofErr w:type="spellEnd"/>
            <w:r w:rsidRPr="00713267">
              <w:rPr>
                <w:rFonts w:eastAsia="Times New Roman" w:cs="Calibri"/>
                <w:bCs/>
                <w:color w:val="000000"/>
                <w:sz w:val="18"/>
                <w:szCs w:val="18"/>
                <w:lang w:eastAsia="it-IT"/>
              </w:rPr>
              <w:t xml:space="preserve"> % I </w:t>
            </w:r>
            <w:proofErr w:type="spellStart"/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it-IT"/>
              </w:rPr>
              <w:t>s</w:t>
            </w:r>
            <w:r w:rsidRPr="00713267">
              <w:rPr>
                <w:rFonts w:eastAsia="Times New Roman" w:cs="Calibri"/>
                <w:bCs/>
                <w:color w:val="000000"/>
                <w:sz w:val="18"/>
                <w:szCs w:val="18"/>
                <w:lang w:eastAsia="it-IT"/>
              </w:rPr>
              <w:t>em</w:t>
            </w:r>
            <w:proofErr w:type="spellEnd"/>
            <w:r w:rsidRPr="00713267">
              <w:rPr>
                <w:rFonts w:eastAsia="Times New Roman" w:cs="Calibri"/>
                <w:bCs/>
                <w:color w:val="000000"/>
                <w:sz w:val="18"/>
                <w:szCs w:val="18"/>
                <w:lang w:eastAsia="it-IT"/>
              </w:rPr>
              <w:t>. 2014 su I 2013</w:t>
            </w:r>
          </w:p>
        </w:tc>
      </w:tr>
      <w:tr w:rsidR="00067E67" w:rsidRPr="00713267" w:rsidTr="00067E67">
        <w:trPr>
          <w:gridBefore w:val="1"/>
          <w:wBefore w:w="70" w:type="dxa"/>
          <w:trHeight w:val="227"/>
        </w:trPr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E67" w:rsidRPr="00713267" w:rsidRDefault="00067E67" w:rsidP="00C650DC">
            <w:pPr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26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67" w:rsidRPr="005058CD" w:rsidRDefault="00067E67" w:rsidP="00C650DC">
            <w:pPr>
              <w:ind w:firstLine="0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eastAsia="it-IT"/>
              </w:rPr>
              <w:t>M</w:t>
            </w:r>
            <w:r w:rsidRPr="005058CD">
              <w:rPr>
                <w:rFonts w:eastAsia="Times New Roman" w:cs="Calibri"/>
                <w:i/>
                <w:color w:val="000000"/>
                <w:sz w:val="18"/>
                <w:szCs w:val="18"/>
                <w:lang w:eastAsia="it-IT"/>
              </w:rPr>
              <w:t>iliardi di euro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7E67" w:rsidRPr="005058CD" w:rsidRDefault="00067E67" w:rsidP="00C650DC">
            <w:pPr>
              <w:ind w:firstLine="0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it-IT"/>
              </w:rPr>
            </w:pPr>
            <w:r w:rsidRPr="005058CD">
              <w:rPr>
                <w:rFonts w:eastAsia="Times New Roman" w:cs="Calibri"/>
                <w:i/>
                <w:color w:val="000000"/>
                <w:sz w:val="18"/>
                <w:szCs w:val="18"/>
                <w:lang w:eastAsia="it-IT"/>
              </w:rPr>
              <w:t>%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E67" w:rsidRPr="005058CD" w:rsidRDefault="00067E67" w:rsidP="00C650DC">
            <w:pPr>
              <w:ind w:firstLine="0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058CD">
              <w:rPr>
                <w:rFonts w:eastAsia="Times New Roman" w:cs="Calibri"/>
                <w:i/>
                <w:color w:val="000000"/>
                <w:sz w:val="18"/>
                <w:szCs w:val="18"/>
                <w:lang w:eastAsia="it-IT"/>
              </w:rPr>
              <w:t>Mld</w:t>
            </w:r>
            <w:proofErr w:type="spellEnd"/>
            <w:r w:rsidRPr="005058CD">
              <w:rPr>
                <w:rFonts w:eastAsia="Times New Roman" w:cs="Calibri"/>
                <w:i/>
                <w:color w:val="000000"/>
                <w:sz w:val="18"/>
                <w:szCs w:val="18"/>
                <w:lang w:eastAsia="it-IT"/>
              </w:rPr>
              <w:t xml:space="preserve"> di euro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E67" w:rsidRPr="005058CD" w:rsidRDefault="00067E67" w:rsidP="00C650DC">
            <w:pPr>
              <w:ind w:firstLine="0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it-IT"/>
              </w:rPr>
            </w:pPr>
            <w:r w:rsidRPr="005058CD">
              <w:rPr>
                <w:rFonts w:eastAsia="Times New Roman" w:cs="Calibri"/>
                <w:i/>
                <w:color w:val="000000"/>
                <w:sz w:val="18"/>
                <w:szCs w:val="18"/>
                <w:lang w:eastAsia="it-IT"/>
              </w:rPr>
              <w:t>%</w:t>
            </w:r>
          </w:p>
        </w:tc>
      </w:tr>
      <w:tr w:rsidR="00067E67" w:rsidRPr="00713267" w:rsidTr="00067E67">
        <w:trPr>
          <w:gridBefore w:val="1"/>
          <w:wBefore w:w="70" w:type="dxa"/>
          <w:trHeight w:val="227"/>
        </w:trPr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Centro-Nord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316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318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255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294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328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338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342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8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174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1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6</w:t>
            </w:r>
          </w:p>
        </w:tc>
      </w:tr>
      <w:tr w:rsidR="00067E67" w:rsidRPr="00713267" w:rsidTr="00067E67">
        <w:trPr>
          <w:gridBefore w:val="1"/>
          <w:wBefore w:w="70" w:type="dxa"/>
          <w:trHeight w:val="227"/>
        </w:trPr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Mezzogiorno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41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43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30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39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43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46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42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20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-3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067E67" w:rsidRPr="00713267" w:rsidTr="00067E67">
        <w:trPr>
          <w:gridBefore w:val="1"/>
          <w:wBefore w:w="70" w:type="dxa"/>
          <w:trHeight w:val="227"/>
        </w:trPr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Italia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364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369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291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337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375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389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390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7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196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1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067E67" w:rsidRPr="00713267" w:rsidTr="00067E67">
        <w:trPr>
          <w:gridBefore w:val="1"/>
          <w:wBefore w:w="70" w:type="dxa"/>
          <w:trHeight w:val="227"/>
        </w:trPr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067E67" w:rsidRPr="00713267" w:rsidTr="00067E67">
        <w:trPr>
          <w:gridBefore w:val="1"/>
          <w:wBefore w:w="70" w:type="dxa"/>
          <w:trHeight w:val="227"/>
        </w:trPr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 xml:space="preserve">Abruzzo 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7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7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5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6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7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6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6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-8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3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4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</w:tr>
      <w:tr w:rsidR="00067E67" w:rsidRPr="00713267" w:rsidTr="00067E67">
        <w:trPr>
          <w:gridBefore w:val="1"/>
          <w:wBefore w:w="70" w:type="dxa"/>
          <w:trHeight w:val="227"/>
        </w:trPr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 xml:space="preserve">Molise 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-5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-0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9</w:t>
            </w:r>
          </w:p>
        </w:tc>
      </w:tr>
      <w:tr w:rsidR="00067E67" w:rsidRPr="00713267" w:rsidTr="00067E67">
        <w:trPr>
          <w:gridBefore w:val="1"/>
          <w:wBefore w:w="70" w:type="dxa"/>
          <w:trHeight w:val="227"/>
        </w:trPr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 xml:space="preserve">Campania 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9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9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7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8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9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9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9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1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4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-0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</w:tr>
      <w:tr w:rsidR="00067E67" w:rsidRPr="00713267" w:rsidTr="00067E67">
        <w:trPr>
          <w:gridBefore w:val="1"/>
          <w:wBefore w:w="70" w:type="dxa"/>
          <w:trHeight w:val="227"/>
        </w:trPr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 xml:space="preserve">Puglia 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7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7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5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6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8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8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7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9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3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7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</w:tr>
      <w:tr w:rsidR="00067E67" w:rsidRPr="00713267" w:rsidTr="00067E67">
        <w:trPr>
          <w:gridBefore w:val="1"/>
          <w:wBefore w:w="70" w:type="dxa"/>
          <w:trHeight w:val="227"/>
        </w:trPr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 xml:space="preserve">Basilicata 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2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2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1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1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1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1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1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-52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-13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</w:tr>
      <w:tr w:rsidR="00067E67" w:rsidRPr="00713267" w:rsidTr="00067E67">
        <w:trPr>
          <w:gridBefore w:val="1"/>
          <w:wBefore w:w="70" w:type="dxa"/>
          <w:trHeight w:val="227"/>
        </w:trPr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 xml:space="preserve">Calabria 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-25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-8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0</w:t>
            </w:r>
          </w:p>
        </w:tc>
      </w:tr>
      <w:tr w:rsidR="00067E67" w:rsidRPr="00713267" w:rsidTr="00067E67">
        <w:trPr>
          <w:gridBefore w:val="1"/>
          <w:wBefore w:w="70" w:type="dxa"/>
          <w:trHeight w:val="227"/>
        </w:trPr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 xml:space="preserve">Sicilia 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9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10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6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9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10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13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11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14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4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-12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067E67" w:rsidRPr="00713267" w:rsidTr="00067E67">
        <w:trPr>
          <w:gridBefore w:val="1"/>
          <w:wBefore w:w="70" w:type="dxa"/>
          <w:trHeight w:val="227"/>
        </w:trPr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 xml:space="preserve">Sardegna 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4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5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3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5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5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6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5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12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2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E67" w:rsidRPr="00713267" w:rsidRDefault="00067E67" w:rsidP="00C650DC">
            <w:pPr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-11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,</w:t>
            </w:r>
            <w:r w:rsidRPr="00713267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</w:tr>
      <w:tr w:rsidR="00067E67" w:rsidRPr="00667A67" w:rsidTr="00067E67">
        <w:trPr>
          <w:gridAfter w:val="1"/>
          <w:wAfter w:w="281" w:type="dxa"/>
          <w:trHeight w:val="295"/>
        </w:trPr>
        <w:tc>
          <w:tcPr>
            <w:tcW w:w="1013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9F63D7" w:rsidRDefault="00067E67" w:rsidP="00067E67">
            <w:pPr>
              <w:ind w:firstLine="0"/>
              <w:rPr>
                <w:sz w:val="19"/>
                <w:szCs w:val="19"/>
              </w:rPr>
            </w:pPr>
            <w:r w:rsidRPr="009F63D7">
              <w:rPr>
                <w:sz w:val="19"/>
                <w:szCs w:val="19"/>
              </w:rPr>
              <w:t>Fonte: Elaborazione Confindustria e SRM su dati Istat</w:t>
            </w:r>
          </w:p>
          <w:p w:rsidR="00067E67" w:rsidRPr="00667A67" w:rsidRDefault="00067E67" w:rsidP="00553F88">
            <w:pPr>
              <w:ind w:firstLine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067E67" w:rsidRPr="00667A67" w:rsidTr="004E09BD">
        <w:trPr>
          <w:gridAfter w:val="1"/>
          <w:wAfter w:w="281" w:type="dxa"/>
          <w:trHeight w:val="295"/>
        </w:trPr>
        <w:tc>
          <w:tcPr>
            <w:tcW w:w="1013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Default="00067E67" w:rsidP="00067E67">
            <w:pPr>
              <w:ind w:firstLine="0"/>
              <w:jc w:val="lef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</w:pPr>
          </w:p>
          <w:p w:rsidR="00067E67" w:rsidRDefault="00067E67" w:rsidP="00067E67">
            <w:pPr>
              <w:ind w:firstLine="0"/>
              <w:jc w:val="lef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</w:pPr>
          </w:p>
          <w:p w:rsidR="00067E67" w:rsidRPr="00067E67" w:rsidRDefault="00067E67" w:rsidP="00067E67">
            <w:pPr>
              <w:ind w:firstLine="0"/>
              <w:jc w:val="left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it-IT"/>
              </w:rPr>
            </w:pPr>
            <w:r w:rsidRPr="00067E67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it-IT"/>
              </w:rPr>
              <w:t>Andamento degli investimenti fissi lordi tra il 2007 ed il 2013, valori concatenati, anno base 2005 (milioni di euro)</w:t>
            </w:r>
          </w:p>
        </w:tc>
      </w:tr>
      <w:tr w:rsidR="00067E67" w:rsidRPr="009F63D7" w:rsidTr="00067E67">
        <w:trPr>
          <w:gridAfter w:val="2"/>
          <w:wAfter w:w="638" w:type="dxa"/>
          <w:trHeight w:val="297"/>
        </w:trPr>
        <w:tc>
          <w:tcPr>
            <w:tcW w:w="2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E67" w:rsidRPr="009F63D7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9F63D7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E67" w:rsidRPr="009F63D7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9F63D7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2007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E67" w:rsidRPr="009F63D7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9F63D7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2008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E67" w:rsidRPr="009F63D7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9F63D7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2009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E67" w:rsidRPr="009F63D7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9F63D7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2010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E67" w:rsidRPr="009F63D7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9F63D7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2011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E67" w:rsidRPr="009F63D7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9F63D7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2012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E67" w:rsidRPr="009F63D7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9F63D7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2013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E67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9F63D7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Var</w:t>
            </w: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.</w:t>
            </w:r>
            <w:r w:rsidRPr="009F63D7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 xml:space="preserve"> %</w:t>
            </w:r>
          </w:p>
          <w:p w:rsidR="00067E67" w:rsidRPr="009F63D7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9F63D7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2013 su 2007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E67" w:rsidRDefault="00067E67" w:rsidP="00067E67">
            <w:pPr>
              <w:ind w:left="-268" w:firstLine="268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9F63D7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Var</w:t>
            </w: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 xml:space="preserve">.% </w:t>
            </w:r>
            <w:r w:rsidRPr="009F63D7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2013</w:t>
            </w:r>
          </w:p>
          <w:p w:rsidR="00067E67" w:rsidRPr="009F63D7" w:rsidRDefault="00067E67" w:rsidP="00067E67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9F63D7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su 2012</w:t>
            </w:r>
          </w:p>
        </w:tc>
      </w:tr>
      <w:tr w:rsidR="00067E67" w:rsidRPr="009F63D7" w:rsidTr="00067E67">
        <w:trPr>
          <w:gridAfter w:val="2"/>
          <w:wAfter w:w="638" w:type="dxa"/>
          <w:trHeight w:val="297"/>
        </w:trPr>
        <w:tc>
          <w:tcPr>
            <w:tcW w:w="2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9F63D7" w:rsidRDefault="00067E67" w:rsidP="00C650DC">
            <w:pPr>
              <w:ind w:firstLine="0"/>
              <w:jc w:val="left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9F63D7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Centro Nord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6E336A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6E336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235.852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6E336A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6E336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229.006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6E336A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6E336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201.302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6E336A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6E336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204.273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6E336A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6E336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203.016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6E336A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6E336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186.608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6E336A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6E336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178.084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6E336A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6E336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-24,5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6E336A" w:rsidRDefault="00067E67" w:rsidP="00067E67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6E336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-4,6</w:t>
            </w:r>
          </w:p>
        </w:tc>
      </w:tr>
      <w:tr w:rsidR="00067E67" w:rsidRPr="009F63D7" w:rsidTr="00067E67">
        <w:trPr>
          <w:gridAfter w:val="2"/>
          <w:wAfter w:w="638" w:type="dxa"/>
          <w:trHeight w:val="297"/>
        </w:trPr>
        <w:tc>
          <w:tcPr>
            <w:tcW w:w="2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9F63D7" w:rsidRDefault="00067E67" w:rsidP="00C650DC">
            <w:pPr>
              <w:ind w:firstLine="0"/>
              <w:jc w:val="left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F63D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it-IT"/>
              </w:rPr>
              <w:t>Mezzogiorno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6E336A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it-IT"/>
              </w:rPr>
            </w:pPr>
            <w:r w:rsidRPr="006E336A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it-IT"/>
              </w:rPr>
              <w:t>80.717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6E336A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it-IT"/>
              </w:rPr>
            </w:pPr>
            <w:r w:rsidRPr="006E336A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it-IT"/>
              </w:rPr>
              <w:t>75.740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6E336A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it-IT"/>
              </w:rPr>
            </w:pPr>
            <w:r w:rsidRPr="006E336A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it-IT"/>
              </w:rPr>
              <w:t>67.685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6E336A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it-IT"/>
              </w:rPr>
            </w:pPr>
            <w:r w:rsidRPr="006E336A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it-IT"/>
              </w:rPr>
              <w:t>66.409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6E336A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it-IT"/>
              </w:rPr>
            </w:pPr>
            <w:r w:rsidRPr="006E336A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it-IT"/>
              </w:rPr>
              <w:t>61.669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6E336A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it-IT"/>
              </w:rPr>
            </w:pPr>
            <w:r w:rsidRPr="006E336A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it-IT"/>
              </w:rPr>
              <w:t>56.999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6E336A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it-IT"/>
              </w:rPr>
            </w:pPr>
            <w:r w:rsidRPr="006E336A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it-IT"/>
              </w:rPr>
              <w:t>54.045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6E336A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it-IT"/>
              </w:rPr>
            </w:pPr>
            <w:r w:rsidRPr="006E336A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it-IT"/>
              </w:rPr>
              <w:t>-33,0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6E336A" w:rsidRDefault="00067E67" w:rsidP="00067E67">
            <w:pPr>
              <w:ind w:firstLine="0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it-IT"/>
              </w:rPr>
            </w:pPr>
            <w:r w:rsidRPr="006E336A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it-IT"/>
              </w:rPr>
              <w:t>-5,2</w:t>
            </w:r>
          </w:p>
        </w:tc>
      </w:tr>
      <w:tr w:rsidR="00067E67" w:rsidRPr="009F63D7" w:rsidTr="00067E67">
        <w:trPr>
          <w:gridAfter w:val="2"/>
          <w:wAfter w:w="638" w:type="dxa"/>
          <w:trHeight w:val="297"/>
        </w:trPr>
        <w:tc>
          <w:tcPr>
            <w:tcW w:w="20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9F63D7" w:rsidRDefault="00067E67" w:rsidP="00C650DC">
            <w:pPr>
              <w:ind w:firstLine="0"/>
              <w:jc w:val="left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9F63D7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Italia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6E336A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6E336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316.570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6E336A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6E336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304.741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6E336A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6E336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268.985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6E336A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6E336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270.673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6E336A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6E336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264.657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6E336A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6E336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243.582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6E336A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6E336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232.103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6E336A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6E336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-26,7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6E336A" w:rsidRDefault="00067E67" w:rsidP="00067E67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6E336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-4,7</w:t>
            </w:r>
          </w:p>
        </w:tc>
      </w:tr>
      <w:tr w:rsidR="00067E67" w:rsidRPr="009F63D7" w:rsidTr="00067E67">
        <w:trPr>
          <w:gridAfter w:val="2"/>
          <w:wAfter w:w="638" w:type="dxa"/>
          <w:trHeight w:val="297"/>
        </w:trPr>
        <w:tc>
          <w:tcPr>
            <w:tcW w:w="2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67" w:rsidRPr="009F63D7" w:rsidRDefault="00067E67" w:rsidP="00C650DC">
            <w:pPr>
              <w:ind w:firstLine="0"/>
              <w:jc w:val="left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67" w:rsidRPr="009F63D7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67" w:rsidRPr="009F63D7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67" w:rsidRPr="009F63D7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67" w:rsidRPr="009F63D7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67" w:rsidRPr="009F63D7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67" w:rsidRPr="009F63D7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67" w:rsidRPr="009F63D7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67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9F63D7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Var</w:t>
            </w: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.</w:t>
            </w:r>
            <w:r w:rsidRPr="009F63D7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%</w:t>
            </w:r>
          </w:p>
          <w:p w:rsidR="00067E67" w:rsidRPr="009F63D7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2013</w:t>
            </w:r>
            <w:r w:rsidRPr="009F63D7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 xml:space="preserve"> su 2007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Default="00067E67" w:rsidP="00067E67">
            <w:pPr>
              <w:ind w:left="-268" w:firstLine="268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9F63D7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Var</w:t>
            </w: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.% 2013</w:t>
            </w:r>
          </w:p>
          <w:p w:rsidR="00067E67" w:rsidRPr="009F63D7" w:rsidRDefault="00067E67" w:rsidP="00067E67">
            <w:pPr>
              <w:ind w:left="-268" w:firstLine="268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su 2012</w:t>
            </w:r>
          </w:p>
        </w:tc>
      </w:tr>
      <w:tr w:rsidR="00067E67" w:rsidRPr="009F63D7" w:rsidTr="00067E67">
        <w:trPr>
          <w:gridAfter w:val="2"/>
          <w:wAfter w:w="638" w:type="dxa"/>
          <w:trHeight w:val="297"/>
        </w:trPr>
        <w:tc>
          <w:tcPr>
            <w:tcW w:w="2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67" w:rsidRPr="009F63D7" w:rsidRDefault="00067E67" w:rsidP="00C650DC">
            <w:pPr>
              <w:ind w:firstLine="0"/>
              <w:jc w:val="left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F63D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it-IT"/>
              </w:rPr>
              <w:t>Mezzogiorno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67" w:rsidRPr="009F63D7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67" w:rsidRPr="009F63D7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67" w:rsidRPr="009F63D7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67" w:rsidRPr="009F63D7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67" w:rsidRPr="009F63D7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67" w:rsidRPr="009F63D7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67" w:rsidRPr="009F63D7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67" w:rsidRPr="009F63D7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9F63D7" w:rsidRDefault="00067E67" w:rsidP="00067E67">
            <w:pPr>
              <w:ind w:left="-268" w:firstLine="268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067E67" w:rsidRPr="009F63D7" w:rsidTr="00067E67">
        <w:trPr>
          <w:gridAfter w:val="2"/>
          <w:wAfter w:w="638" w:type="dxa"/>
          <w:trHeight w:val="297"/>
        </w:trPr>
        <w:tc>
          <w:tcPr>
            <w:tcW w:w="2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9F63D7" w:rsidRDefault="00067E67" w:rsidP="00C650DC">
            <w:pPr>
              <w:ind w:firstLine="0"/>
              <w:jc w:val="left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9F63D7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 xml:space="preserve">Agricoltura, </w:t>
            </w:r>
            <w:proofErr w:type="spellStart"/>
            <w:r w:rsidRPr="009F63D7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Silvic</w:t>
            </w:r>
            <w:proofErr w:type="spellEnd"/>
            <w:r w:rsidRPr="009F63D7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. e Pesca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2A204A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2A204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3.459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2A204A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2A204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3.157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2A204A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2A204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2.635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2A204A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2A204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2.367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2A204A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2A204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2.391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2A204A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2A204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2.014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2A204A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2A204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1.914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2A204A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2A204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-44,6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67E67" w:rsidRPr="002A204A" w:rsidRDefault="00067E67" w:rsidP="00067E67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2A204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-5,0</w:t>
            </w:r>
          </w:p>
        </w:tc>
      </w:tr>
      <w:tr w:rsidR="00067E67" w:rsidRPr="009F63D7" w:rsidTr="00067E67">
        <w:trPr>
          <w:gridAfter w:val="2"/>
          <w:wAfter w:w="638" w:type="dxa"/>
          <w:trHeight w:val="297"/>
        </w:trPr>
        <w:tc>
          <w:tcPr>
            <w:tcW w:w="2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9F63D7" w:rsidRDefault="00067E67" w:rsidP="00C650DC">
            <w:pPr>
              <w:ind w:firstLine="0"/>
              <w:jc w:val="left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9F63D7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Industria in senso stretto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2A204A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17.</w:t>
            </w:r>
            <w:r w:rsidRPr="002A204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177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2A204A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2A204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12.981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2A204A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2A204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10.620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2A204A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2A204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10.096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2A204A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2A204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9.326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2A204A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2A204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8.229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2A204A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2A204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8.012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2A204A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2A204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-53,4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2A204A" w:rsidRDefault="00067E67" w:rsidP="00067E67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2A204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-2,6</w:t>
            </w:r>
          </w:p>
        </w:tc>
      </w:tr>
      <w:tr w:rsidR="00067E67" w:rsidRPr="009F63D7" w:rsidTr="00067E67">
        <w:trPr>
          <w:gridAfter w:val="2"/>
          <w:wAfter w:w="638" w:type="dxa"/>
          <w:trHeight w:val="297"/>
        </w:trPr>
        <w:tc>
          <w:tcPr>
            <w:tcW w:w="2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9F63D7" w:rsidRDefault="00067E67" w:rsidP="00C650DC">
            <w:pPr>
              <w:ind w:firstLine="0"/>
              <w:jc w:val="left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9F63D7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Costruzioni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2A204A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2A204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3.058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2A204A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2A204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3.190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2A204A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2A204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2.583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2A204A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2A204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2.913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2A204A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2A204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2.549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2A204A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2A204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2.425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2A204A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2A204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2.242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2A204A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2A204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-26,7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2A204A" w:rsidRDefault="00067E67" w:rsidP="00067E67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2A204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-7,5</w:t>
            </w:r>
          </w:p>
        </w:tc>
      </w:tr>
      <w:tr w:rsidR="00067E67" w:rsidRPr="009F63D7" w:rsidTr="00067E67">
        <w:trPr>
          <w:gridAfter w:val="2"/>
          <w:wAfter w:w="638" w:type="dxa"/>
          <w:trHeight w:val="297"/>
        </w:trPr>
        <w:tc>
          <w:tcPr>
            <w:tcW w:w="20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9F63D7" w:rsidRDefault="00067E67" w:rsidP="00C650DC">
            <w:pPr>
              <w:ind w:firstLine="0"/>
              <w:jc w:val="left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9F63D7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Servizi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2A204A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2A204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57.023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2A204A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2A204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56.406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2A204A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2A204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51.842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2A204A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2A204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51.037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2A204A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2A204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47.401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2A204A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2A204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44.326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2A204A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2A204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41.885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2A204A" w:rsidRDefault="00067E67" w:rsidP="00C650DC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2A204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-26,5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E67" w:rsidRPr="002A204A" w:rsidRDefault="00067E67" w:rsidP="00067E67">
            <w:pPr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</w:pPr>
            <w:r w:rsidRPr="002A204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it-IT"/>
              </w:rPr>
              <w:t>-5,5</w:t>
            </w:r>
          </w:p>
        </w:tc>
      </w:tr>
    </w:tbl>
    <w:p w:rsidR="00067E67" w:rsidRDefault="00CB2F77" w:rsidP="00067E67">
      <w:pPr>
        <w:ind w:firstLine="0"/>
        <w:rPr>
          <w:rFonts w:asciiTheme="minorHAnsi" w:hAnsiTheme="minorHAnsi"/>
          <w:sz w:val="20"/>
          <w:szCs w:val="20"/>
        </w:rPr>
      </w:pPr>
      <w:r>
        <w:rPr>
          <w:sz w:val="18"/>
          <w:szCs w:val="18"/>
        </w:rPr>
        <w:t>Fonte: Elaborazione</w:t>
      </w:r>
      <w:r w:rsidR="00067E67">
        <w:rPr>
          <w:sz w:val="18"/>
          <w:szCs w:val="18"/>
        </w:rPr>
        <w:t xml:space="preserve"> </w:t>
      </w:r>
      <w:r w:rsidR="00AB780A">
        <w:rPr>
          <w:sz w:val="18"/>
          <w:szCs w:val="18"/>
        </w:rPr>
        <w:t xml:space="preserve">Confindustria e </w:t>
      </w:r>
      <w:r w:rsidR="00067E67">
        <w:rPr>
          <w:sz w:val="18"/>
          <w:szCs w:val="18"/>
        </w:rPr>
        <w:t>SRM su dati Istat e</w:t>
      </w:r>
      <w:r w:rsidR="00067E67" w:rsidRPr="007A3983">
        <w:rPr>
          <w:sz w:val="18"/>
          <w:szCs w:val="18"/>
        </w:rPr>
        <w:t xml:space="preserve"> </w:t>
      </w:r>
      <w:proofErr w:type="spellStart"/>
      <w:r w:rsidR="00067E67" w:rsidRPr="007A3983">
        <w:rPr>
          <w:sz w:val="18"/>
          <w:szCs w:val="18"/>
        </w:rPr>
        <w:t>Svimez</w:t>
      </w:r>
      <w:proofErr w:type="spellEnd"/>
    </w:p>
    <w:p w:rsidR="00C06054" w:rsidRDefault="00C06054" w:rsidP="00553F88">
      <w:pPr>
        <w:ind w:firstLine="0"/>
        <w:rPr>
          <w:b/>
          <w:sz w:val="20"/>
          <w:szCs w:val="20"/>
        </w:rPr>
      </w:pPr>
    </w:p>
    <w:p w:rsidR="00C06054" w:rsidRDefault="00C06054" w:rsidP="00553F88">
      <w:pPr>
        <w:ind w:firstLine="0"/>
        <w:rPr>
          <w:b/>
          <w:sz w:val="20"/>
          <w:szCs w:val="20"/>
        </w:rPr>
      </w:pPr>
    </w:p>
    <w:p w:rsidR="00C06054" w:rsidRDefault="00C06054" w:rsidP="00553F88">
      <w:pPr>
        <w:ind w:firstLine="0"/>
        <w:rPr>
          <w:b/>
          <w:sz w:val="20"/>
          <w:szCs w:val="20"/>
        </w:rPr>
      </w:pPr>
    </w:p>
    <w:p w:rsidR="00C06054" w:rsidRDefault="00C06054" w:rsidP="00553F88">
      <w:pPr>
        <w:ind w:firstLine="0"/>
        <w:rPr>
          <w:b/>
          <w:sz w:val="20"/>
          <w:szCs w:val="20"/>
        </w:rPr>
      </w:pPr>
    </w:p>
    <w:p w:rsidR="00C06054" w:rsidRDefault="00C06054" w:rsidP="00553F88">
      <w:pPr>
        <w:ind w:firstLine="0"/>
        <w:rPr>
          <w:b/>
          <w:sz w:val="20"/>
          <w:szCs w:val="20"/>
        </w:rPr>
      </w:pPr>
    </w:p>
    <w:p w:rsidR="00C06054" w:rsidRDefault="00C06054" w:rsidP="00553F88">
      <w:pPr>
        <w:ind w:firstLine="0"/>
        <w:rPr>
          <w:b/>
          <w:sz w:val="20"/>
          <w:szCs w:val="20"/>
        </w:rPr>
      </w:pPr>
    </w:p>
    <w:p w:rsidR="00427062" w:rsidRDefault="00CB2F77" w:rsidP="00553F88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Differenza tra gli occupati rispetto al 2007 (valori in migliaia) </w:t>
      </w:r>
    </w:p>
    <w:p w:rsidR="00CB2F77" w:rsidRDefault="00CB2F77" w:rsidP="00553F88">
      <w:pPr>
        <w:ind w:firstLine="0"/>
        <w:rPr>
          <w:noProof/>
          <w:lang w:eastAsia="it-IT"/>
        </w:rPr>
      </w:pPr>
      <w:r w:rsidRPr="00CB2F77">
        <w:rPr>
          <w:noProof/>
          <w:lang w:eastAsia="it-IT"/>
        </w:rPr>
        <w:drawing>
          <wp:inline distT="0" distB="0" distL="0" distR="0">
            <wp:extent cx="6120130" cy="2659766"/>
            <wp:effectExtent l="19050" t="0" r="13970" b="7234"/>
            <wp:docPr id="1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27062" w:rsidRPr="00720E36" w:rsidRDefault="00427062" w:rsidP="00553F88">
      <w:pPr>
        <w:ind w:firstLine="0"/>
        <w:rPr>
          <w:sz w:val="18"/>
          <w:szCs w:val="18"/>
        </w:rPr>
      </w:pPr>
      <w:r>
        <w:rPr>
          <w:sz w:val="18"/>
          <w:szCs w:val="18"/>
        </w:rPr>
        <w:t>Fonte: E</w:t>
      </w:r>
      <w:r w:rsidRPr="00720E36">
        <w:rPr>
          <w:sz w:val="18"/>
          <w:szCs w:val="18"/>
        </w:rPr>
        <w:t xml:space="preserve">laborazione Confindustria </w:t>
      </w:r>
      <w:r>
        <w:rPr>
          <w:sz w:val="18"/>
          <w:szCs w:val="18"/>
        </w:rPr>
        <w:t xml:space="preserve">e </w:t>
      </w:r>
      <w:r w:rsidRPr="00720E36">
        <w:rPr>
          <w:sz w:val="18"/>
          <w:szCs w:val="18"/>
        </w:rPr>
        <w:t xml:space="preserve">SRM </w:t>
      </w:r>
      <w:r>
        <w:rPr>
          <w:sz w:val="18"/>
          <w:szCs w:val="18"/>
        </w:rPr>
        <w:t>su dati ISTAT</w:t>
      </w:r>
    </w:p>
    <w:p w:rsidR="003A591E" w:rsidRDefault="003A591E" w:rsidP="00553F88">
      <w:pPr>
        <w:ind w:firstLine="0"/>
      </w:pPr>
    </w:p>
    <w:p w:rsidR="003A591E" w:rsidRDefault="003A591E" w:rsidP="00553F88">
      <w:pPr>
        <w:ind w:firstLine="0"/>
      </w:pPr>
    </w:p>
    <w:p w:rsidR="00C06054" w:rsidRDefault="00C06054" w:rsidP="00553F88">
      <w:pPr>
        <w:ind w:firstLine="0"/>
      </w:pPr>
    </w:p>
    <w:p w:rsidR="00C06054" w:rsidRDefault="00C06054" w:rsidP="00553F88">
      <w:pPr>
        <w:ind w:firstLine="0"/>
      </w:pPr>
    </w:p>
    <w:p w:rsidR="003A591E" w:rsidRDefault="003A591E" w:rsidP="00553F88">
      <w:pPr>
        <w:ind w:firstLine="0"/>
        <w:rPr>
          <w:b/>
          <w:sz w:val="20"/>
          <w:szCs w:val="20"/>
        </w:rPr>
      </w:pPr>
      <w:r w:rsidRPr="00E52565">
        <w:rPr>
          <w:b/>
          <w:sz w:val="20"/>
          <w:szCs w:val="20"/>
        </w:rPr>
        <w:t>Numero di imprese cessate al giorno, confronto Mezz</w:t>
      </w:r>
      <w:r w:rsidR="00AB780A">
        <w:rPr>
          <w:b/>
          <w:sz w:val="20"/>
          <w:szCs w:val="20"/>
        </w:rPr>
        <w:t>ogiorno - Centro Nord (2013 e primi 3 t</w:t>
      </w:r>
      <w:r w:rsidRPr="00E52565">
        <w:rPr>
          <w:b/>
          <w:sz w:val="20"/>
          <w:szCs w:val="20"/>
        </w:rPr>
        <w:t>rim</w:t>
      </w:r>
      <w:r w:rsidR="00AB780A">
        <w:rPr>
          <w:b/>
          <w:sz w:val="20"/>
          <w:szCs w:val="20"/>
        </w:rPr>
        <w:t>estri</w:t>
      </w:r>
      <w:r w:rsidRPr="00E52565">
        <w:rPr>
          <w:b/>
          <w:sz w:val="20"/>
          <w:szCs w:val="20"/>
        </w:rPr>
        <w:t xml:space="preserve"> 2014)</w:t>
      </w:r>
    </w:p>
    <w:p w:rsidR="00281946" w:rsidRPr="00427062" w:rsidRDefault="007201F3" w:rsidP="00553F88">
      <w:pPr>
        <w:ind w:firstLine="0"/>
        <w:rPr>
          <w:b/>
          <w:sz w:val="20"/>
          <w:szCs w:val="20"/>
        </w:rPr>
      </w:pPr>
      <w:r w:rsidRPr="007201F3">
        <w:rPr>
          <w:b/>
          <w:noProof/>
          <w:sz w:val="20"/>
          <w:szCs w:val="20"/>
          <w:lang w:eastAsia="it-IT"/>
        </w:rPr>
        <w:drawing>
          <wp:inline distT="0" distB="0" distL="0" distR="0">
            <wp:extent cx="6120130" cy="4051855"/>
            <wp:effectExtent l="19050" t="0" r="13970" b="5795"/>
            <wp:docPr id="8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67A67" w:rsidRDefault="003A591E" w:rsidP="00553F88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Fonte: Elaborazione Confindustria e </w:t>
      </w:r>
      <w:r w:rsidRPr="00636558">
        <w:rPr>
          <w:sz w:val="18"/>
          <w:szCs w:val="18"/>
        </w:rPr>
        <w:t>SRM su dati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Movimprese</w:t>
      </w:r>
      <w:proofErr w:type="spellEnd"/>
    </w:p>
    <w:sectPr w:rsidR="00667A67" w:rsidSect="001A09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B6414"/>
    <w:rsid w:val="00000F18"/>
    <w:rsid w:val="000016E3"/>
    <w:rsid w:val="000027BD"/>
    <w:rsid w:val="000029EF"/>
    <w:rsid w:val="00002BA0"/>
    <w:rsid w:val="0000393C"/>
    <w:rsid w:val="0000408B"/>
    <w:rsid w:val="00004882"/>
    <w:rsid w:val="000049CC"/>
    <w:rsid w:val="00004E28"/>
    <w:rsid w:val="000057A2"/>
    <w:rsid w:val="000057C7"/>
    <w:rsid w:val="000070F1"/>
    <w:rsid w:val="000074F9"/>
    <w:rsid w:val="00007724"/>
    <w:rsid w:val="00007B70"/>
    <w:rsid w:val="000103FD"/>
    <w:rsid w:val="00010459"/>
    <w:rsid w:val="00010856"/>
    <w:rsid w:val="00011460"/>
    <w:rsid w:val="00011C60"/>
    <w:rsid w:val="00011EE5"/>
    <w:rsid w:val="0001358A"/>
    <w:rsid w:val="000136B5"/>
    <w:rsid w:val="00013E41"/>
    <w:rsid w:val="00014653"/>
    <w:rsid w:val="000160F1"/>
    <w:rsid w:val="00016B00"/>
    <w:rsid w:val="00020524"/>
    <w:rsid w:val="00020D0C"/>
    <w:rsid w:val="00021C91"/>
    <w:rsid w:val="00021D76"/>
    <w:rsid w:val="00022316"/>
    <w:rsid w:val="000223EE"/>
    <w:rsid w:val="0002393D"/>
    <w:rsid w:val="00023CD3"/>
    <w:rsid w:val="00024D5B"/>
    <w:rsid w:val="00024FC8"/>
    <w:rsid w:val="00025370"/>
    <w:rsid w:val="0002544E"/>
    <w:rsid w:val="000257E9"/>
    <w:rsid w:val="0002743C"/>
    <w:rsid w:val="00027E3A"/>
    <w:rsid w:val="00030137"/>
    <w:rsid w:val="00031146"/>
    <w:rsid w:val="00031C73"/>
    <w:rsid w:val="000327D8"/>
    <w:rsid w:val="00035794"/>
    <w:rsid w:val="000367A9"/>
    <w:rsid w:val="00036894"/>
    <w:rsid w:val="00036CE2"/>
    <w:rsid w:val="00037EBD"/>
    <w:rsid w:val="000401A8"/>
    <w:rsid w:val="000402CC"/>
    <w:rsid w:val="00040ED0"/>
    <w:rsid w:val="000414BF"/>
    <w:rsid w:val="0004218A"/>
    <w:rsid w:val="00042883"/>
    <w:rsid w:val="00042AB1"/>
    <w:rsid w:val="00042CE8"/>
    <w:rsid w:val="00042EA2"/>
    <w:rsid w:val="000436F5"/>
    <w:rsid w:val="00044AE3"/>
    <w:rsid w:val="00045553"/>
    <w:rsid w:val="000460BB"/>
    <w:rsid w:val="0004699A"/>
    <w:rsid w:val="000475C4"/>
    <w:rsid w:val="000479F6"/>
    <w:rsid w:val="00047CC4"/>
    <w:rsid w:val="000506DC"/>
    <w:rsid w:val="0005139D"/>
    <w:rsid w:val="000516DD"/>
    <w:rsid w:val="00051CA1"/>
    <w:rsid w:val="00053544"/>
    <w:rsid w:val="000539A1"/>
    <w:rsid w:val="0005495E"/>
    <w:rsid w:val="00054DE8"/>
    <w:rsid w:val="00056078"/>
    <w:rsid w:val="00061001"/>
    <w:rsid w:val="00061DCA"/>
    <w:rsid w:val="000635C8"/>
    <w:rsid w:val="00065B67"/>
    <w:rsid w:val="00065B94"/>
    <w:rsid w:val="00065F99"/>
    <w:rsid w:val="00066562"/>
    <w:rsid w:val="00067500"/>
    <w:rsid w:val="000677B5"/>
    <w:rsid w:val="00067DDB"/>
    <w:rsid w:val="00067E67"/>
    <w:rsid w:val="00070468"/>
    <w:rsid w:val="0007057F"/>
    <w:rsid w:val="00070953"/>
    <w:rsid w:val="00072C2C"/>
    <w:rsid w:val="00074BE2"/>
    <w:rsid w:val="00075398"/>
    <w:rsid w:val="00075930"/>
    <w:rsid w:val="000761A2"/>
    <w:rsid w:val="00076FCD"/>
    <w:rsid w:val="0007772B"/>
    <w:rsid w:val="00077C95"/>
    <w:rsid w:val="0008126A"/>
    <w:rsid w:val="000818AA"/>
    <w:rsid w:val="00081F62"/>
    <w:rsid w:val="00082AAE"/>
    <w:rsid w:val="00082CDB"/>
    <w:rsid w:val="00083A0E"/>
    <w:rsid w:val="00083C4A"/>
    <w:rsid w:val="000858CB"/>
    <w:rsid w:val="00085F18"/>
    <w:rsid w:val="00085F42"/>
    <w:rsid w:val="0008743A"/>
    <w:rsid w:val="00090096"/>
    <w:rsid w:val="00090BEF"/>
    <w:rsid w:val="0009227B"/>
    <w:rsid w:val="00093255"/>
    <w:rsid w:val="000933CB"/>
    <w:rsid w:val="000952F4"/>
    <w:rsid w:val="00097317"/>
    <w:rsid w:val="000976A7"/>
    <w:rsid w:val="00097FE1"/>
    <w:rsid w:val="000A02C3"/>
    <w:rsid w:val="000A10FC"/>
    <w:rsid w:val="000A1CE9"/>
    <w:rsid w:val="000A36C2"/>
    <w:rsid w:val="000A3FFE"/>
    <w:rsid w:val="000A435B"/>
    <w:rsid w:val="000A6D17"/>
    <w:rsid w:val="000A7598"/>
    <w:rsid w:val="000A7E22"/>
    <w:rsid w:val="000B0C23"/>
    <w:rsid w:val="000B1079"/>
    <w:rsid w:val="000B12E9"/>
    <w:rsid w:val="000B1D14"/>
    <w:rsid w:val="000B2557"/>
    <w:rsid w:val="000B3688"/>
    <w:rsid w:val="000B3ABE"/>
    <w:rsid w:val="000B5199"/>
    <w:rsid w:val="000B5533"/>
    <w:rsid w:val="000B58EC"/>
    <w:rsid w:val="000B5D3B"/>
    <w:rsid w:val="000B5EBB"/>
    <w:rsid w:val="000B7E85"/>
    <w:rsid w:val="000C0654"/>
    <w:rsid w:val="000C0948"/>
    <w:rsid w:val="000C0D40"/>
    <w:rsid w:val="000C1CBF"/>
    <w:rsid w:val="000C263A"/>
    <w:rsid w:val="000C2D4B"/>
    <w:rsid w:val="000C350C"/>
    <w:rsid w:val="000C38F5"/>
    <w:rsid w:val="000C3E20"/>
    <w:rsid w:val="000C4FA1"/>
    <w:rsid w:val="000C51E7"/>
    <w:rsid w:val="000C70B3"/>
    <w:rsid w:val="000C7B0D"/>
    <w:rsid w:val="000D039D"/>
    <w:rsid w:val="000D16F6"/>
    <w:rsid w:val="000D1715"/>
    <w:rsid w:val="000D260D"/>
    <w:rsid w:val="000D3CF7"/>
    <w:rsid w:val="000D4F3D"/>
    <w:rsid w:val="000D5A02"/>
    <w:rsid w:val="000D5ED0"/>
    <w:rsid w:val="000D6692"/>
    <w:rsid w:val="000D6E10"/>
    <w:rsid w:val="000D7A50"/>
    <w:rsid w:val="000E2F21"/>
    <w:rsid w:val="000E306F"/>
    <w:rsid w:val="000E36A4"/>
    <w:rsid w:val="000E380E"/>
    <w:rsid w:val="000E4059"/>
    <w:rsid w:val="000E4629"/>
    <w:rsid w:val="000E4701"/>
    <w:rsid w:val="000E4E63"/>
    <w:rsid w:val="000E4F79"/>
    <w:rsid w:val="000E52CD"/>
    <w:rsid w:val="000E53F4"/>
    <w:rsid w:val="000E54D4"/>
    <w:rsid w:val="000E5511"/>
    <w:rsid w:val="000E61B5"/>
    <w:rsid w:val="000E765F"/>
    <w:rsid w:val="000F27C5"/>
    <w:rsid w:val="000F55B4"/>
    <w:rsid w:val="000F6CAF"/>
    <w:rsid w:val="00100352"/>
    <w:rsid w:val="001003DE"/>
    <w:rsid w:val="00101E10"/>
    <w:rsid w:val="00102BB2"/>
    <w:rsid w:val="0010475D"/>
    <w:rsid w:val="001047A6"/>
    <w:rsid w:val="00105399"/>
    <w:rsid w:val="00105BC4"/>
    <w:rsid w:val="00105C44"/>
    <w:rsid w:val="00105D18"/>
    <w:rsid w:val="00106040"/>
    <w:rsid w:val="0010638F"/>
    <w:rsid w:val="001069A9"/>
    <w:rsid w:val="00107CAE"/>
    <w:rsid w:val="00107EC5"/>
    <w:rsid w:val="001113F0"/>
    <w:rsid w:val="00111D8E"/>
    <w:rsid w:val="0011281B"/>
    <w:rsid w:val="0011323C"/>
    <w:rsid w:val="00113559"/>
    <w:rsid w:val="00113AC5"/>
    <w:rsid w:val="00113C0A"/>
    <w:rsid w:val="001147EB"/>
    <w:rsid w:val="001147F5"/>
    <w:rsid w:val="00115C59"/>
    <w:rsid w:val="001171C9"/>
    <w:rsid w:val="001172EA"/>
    <w:rsid w:val="00117487"/>
    <w:rsid w:val="001175C5"/>
    <w:rsid w:val="00117645"/>
    <w:rsid w:val="00117A17"/>
    <w:rsid w:val="00117B27"/>
    <w:rsid w:val="00117ED1"/>
    <w:rsid w:val="00121F51"/>
    <w:rsid w:val="00122403"/>
    <w:rsid w:val="00122469"/>
    <w:rsid w:val="001224A3"/>
    <w:rsid w:val="0012278E"/>
    <w:rsid w:val="001227C6"/>
    <w:rsid w:val="001229E6"/>
    <w:rsid w:val="00122A5F"/>
    <w:rsid w:val="00123203"/>
    <w:rsid w:val="00123576"/>
    <w:rsid w:val="00123CED"/>
    <w:rsid w:val="0012433F"/>
    <w:rsid w:val="001245CC"/>
    <w:rsid w:val="0012461B"/>
    <w:rsid w:val="00124B6C"/>
    <w:rsid w:val="00124D1F"/>
    <w:rsid w:val="00124D91"/>
    <w:rsid w:val="001262A2"/>
    <w:rsid w:val="001263AB"/>
    <w:rsid w:val="00127436"/>
    <w:rsid w:val="001278E5"/>
    <w:rsid w:val="00127D91"/>
    <w:rsid w:val="001302DF"/>
    <w:rsid w:val="00130997"/>
    <w:rsid w:val="00130A9C"/>
    <w:rsid w:val="0013128A"/>
    <w:rsid w:val="00132051"/>
    <w:rsid w:val="00132084"/>
    <w:rsid w:val="00132DC7"/>
    <w:rsid w:val="001341FB"/>
    <w:rsid w:val="00134AB1"/>
    <w:rsid w:val="00135523"/>
    <w:rsid w:val="00135E26"/>
    <w:rsid w:val="001363DA"/>
    <w:rsid w:val="00137934"/>
    <w:rsid w:val="0013799A"/>
    <w:rsid w:val="00140230"/>
    <w:rsid w:val="0014054E"/>
    <w:rsid w:val="00141F8E"/>
    <w:rsid w:val="001436BB"/>
    <w:rsid w:val="0014370E"/>
    <w:rsid w:val="00143717"/>
    <w:rsid w:val="001449C3"/>
    <w:rsid w:val="00144A4C"/>
    <w:rsid w:val="001457DA"/>
    <w:rsid w:val="0014627E"/>
    <w:rsid w:val="0014646F"/>
    <w:rsid w:val="0014688D"/>
    <w:rsid w:val="00150C73"/>
    <w:rsid w:val="00150D57"/>
    <w:rsid w:val="00150F2A"/>
    <w:rsid w:val="00151206"/>
    <w:rsid w:val="00151605"/>
    <w:rsid w:val="00151927"/>
    <w:rsid w:val="00151A46"/>
    <w:rsid w:val="00151E9A"/>
    <w:rsid w:val="00152B00"/>
    <w:rsid w:val="00155356"/>
    <w:rsid w:val="00155876"/>
    <w:rsid w:val="00155BA4"/>
    <w:rsid w:val="0015621A"/>
    <w:rsid w:val="0015631E"/>
    <w:rsid w:val="0015692F"/>
    <w:rsid w:val="00156963"/>
    <w:rsid w:val="00157283"/>
    <w:rsid w:val="001579A9"/>
    <w:rsid w:val="0016050A"/>
    <w:rsid w:val="00160840"/>
    <w:rsid w:val="0016123A"/>
    <w:rsid w:val="00161999"/>
    <w:rsid w:val="00161DBA"/>
    <w:rsid w:val="0016299E"/>
    <w:rsid w:val="00162C43"/>
    <w:rsid w:val="00162E5B"/>
    <w:rsid w:val="001640A4"/>
    <w:rsid w:val="00164641"/>
    <w:rsid w:val="00165094"/>
    <w:rsid w:val="00166325"/>
    <w:rsid w:val="001666B1"/>
    <w:rsid w:val="00166A6D"/>
    <w:rsid w:val="00166D5B"/>
    <w:rsid w:val="001706BE"/>
    <w:rsid w:val="00172CA5"/>
    <w:rsid w:val="00173788"/>
    <w:rsid w:val="00175406"/>
    <w:rsid w:val="00175D97"/>
    <w:rsid w:val="001766B3"/>
    <w:rsid w:val="001771E0"/>
    <w:rsid w:val="00177201"/>
    <w:rsid w:val="00180428"/>
    <w:rsid w:val="001810BE"/>
    <w:rsid w:val="00181F8E"/>
    <w:rsid w:val="001824A6"/>
    <w:rsid w:val="00182EE0"/>
    <w:rsid w:val="0018412C"/>
    <w:rsid w:val="00185910"/>
    <w:rsid w:val="001864FA"/>
    <w:rsid w:val="0018695A"/>
    <w:rsid w:val="00187ABA"/>
    <w:rsid w:val="00187FCB"/>
    <w:rsid w:val="001912AF"/>
    <w:rsid w:val="00191520"/>
    <w:rsid w:val="00193FDB"/>
    <w:rsid w:val="00194424"/>
    <w:rsid w:val="00194470"/>
    <w:rsid w:val="00195344"/>
    <w:rsid w:val="00195996"/>
    <w:rsid w:val="001959F6"/>
    <w:rsid w:val="00196D7B"/>
    <w:rsid w:val="00197709"/>
    <w:rsid w:val="0019783C"/>
    <w:rsid w:val="001A0860"/>
    <w:rsid w:val="001A0921"/>
    <w:rsid w:val="001A181B"/>
    <w:rsid w:val="001A1FBF"/>
    <w:rsid w:val="001A2552"/>
    <w:rsid w:val="001A3B76"/>
    <w:rsid w:val="001A4AA6"/>
    <w:rsid w:val="001A4D31"/>
    <w:rsid w:val="001A6A1B"/>
    <w:rsid w:val="001A6EFE"/>
    <w:rsid w:val="001B0D04"/>
    <w:rsid w:val="001B12EB"/>
    <w:rsid w:val="001B1420"/>
    <w:rsid w:val="001B1E44"/>
    <w:rsid w:val="001B2C35"/>
    <w:rsid w:val="001B2D48"/>
    <w:rsid w:val="001B30DC"/>
    <w:rsid w:val="001B31B3"/>
    <w:rsid w:val="001B37CD"/>
    <w:rsid w:val="001B3AC1"/>
    <w:rsid w:val="001B3BD6"/>
    <w:rsid w:val="001B3CBE"/>
    <w:rsid w:val="001B3D8D"/>
    <w:rsid w:val="001B4AD2"/>
    <w:rsid w:val="001B51FF"/>
    <w:rsid w:val="001B561F"/>
    <w:rsid w:val="001B593F"/>
    <w:rsid w:val="001B7921"/>
    <w:rsid w:val="001B7DC7"/>
    <w:rsid w:val="001C08BC"/>
    <w:rsid w:val="001C14A9"/>
    <w:rsid w:val="001C3BC6"/>
    <w:rsid w:val="001C3F59"/>
    <w:rsid w:val="001C424E"/>
    <w:rsid w:val="001C46FE"/>
    <w:rsid w:val="001C48E5"/>
    <w:rsid w:val="001C546E"/>
    <w:rsid w:val="001C56ED"/>
    <w:rsid w:val="001C5D31"/>
    <w:rsid w:val="001C62C4"/>
    <w:rsid w:val="001C6EAB"/>
    <w:rsid w:val="001D029B"/>
    <w:rsid w:val="001D176F"/>
    <w:rsid w:val="001D379F"/>
    <w:rsid w:val="001D3C4E"/>
    <w:rsid w:val="001D4077"/>
    <w:rsid w:val="001D5A69"/>
    <w:rsid w:val="001D5E2A"/>
    <w:rsid w:val="001D5F79"/>
    <w:rsid w:val="001E17EB"/>
    <w:rsid w:val="001E1A13"/>
    <w:rsid w:val="001E22FE"/>
    <w:rsid w:val="001E23DE"/>
    <w:rsid w:val="001E492F"/>
    <w:rsid w:val="001E57AD"/>
    <w:rsid w:val="001E5A6A"/>
    <w:rsid w:val="001E5AB1"/>
    <w:rsid w:val="001E6FAF"/>
    <w:rsid w:val="001E7A1E"/>
    <w:rsid w:val="001F10C9"/>
    <w:rsid w:val="001F14E4"/>
    <w:rsid w:val="001F24B6"/>
    <w:rsid w:val="001F4D2D"/>
    <w:rsid w:val="001F5085"/>
    <w:rsid w:val="001F54EF"/>
    <w:rsid w:val="001F5E7B"/>
    <w:rsid w:val="001F68CA"/>
    <w:rsid w:val="001F6A6D"/>
    <w:rsid w:val="001F6F26"/>
    <w:rsid w:val="001F717B"/>
    <w:rsid w:val="001F7296"/>
    <w:rsid w:val="001F75F5"/>
    <w:rsid w:val="0020075D"/>
    <w:rsid w:val="00200C5F"/>
    <w:rsid w:val="002011BA"/>
    <w:rsid w:val="00202295"/>
    <w:rsid w:val="002030EB"/>
    <w:rsid w:val="00203176"/>
    <w:rsid w:val="00203D24"/>
    <w:rsid w:val="00204EAE"/>
    <w:rsid w:val="002054DF"/>
    <w:rsid w:val="002056B4"/>
    <w:rsid w:val="002062F8"/>
    <w:rsid w:val="002067F4"/>
    <w:rsid w:val="00211013"/>
    <w:rsid w:val="00211069"/>
    <w:rsid w:val="00211D26"/>
    <w:rsid w:val="00213384"/>
    <w:rsid w:val="002133F3"/>
    <w:rsid w:val="00213AA0"/>
    <w:rsid w:val="00214519"/>
    <w:rsid w:val="002145FC"/>
    <w:rsid w:val="00214AE9"/>
    <w:rsid w:val="00214EA1"/>
    <w:rsid w:val="002156DF"/>
    <w:rsid w:val="0021577C"/>
    <w:rsid w:val="00215C68"/>
    <w:rsid w:val="00216096"/>
    <w:rsid w:val="0021670B"/>
    <w:rsid w:val="00216860"/>
    <w:rsid w:val="0021688E"/>
    <w:rsid w:val="002168A8"/>
    <w:rsid w:val="002172B4"/>
    <w:rsid w:val="00217523"/>
    <w:rsid w:val="002177E5"/>
    <w:rsid w:val="00217808"/>
    <w:rsid w:val="00217971"/>
    <w:rsid w:val="002208EE"/>
    <w:rsid w:val="00220DBA"/>
    <w:rsid w:val="002232DB"/>
    <w:rsid w:val="00223877"/>
    <w:rsid w:val="002246B7"/>
    <w:rsid w:val="00225242"/>
    <w:rsid w:val="00225BB4"/>
    <w:rsid w:val="00226D14"/>
    <w:rsid w:val="00227743"/>
    <w:rsid w:val="002279CA"/>
    <w:rsid w:val="00231685"/>
    <w:rsid w:val="00231C7D"/>
    <w:rsid w:val="00231CCC"/>
    <w:rsid w:val="00231DF8"/>
    <w:rsid w:val="00231FFB"/>
    <w:rsid w:val="0023227C"/>
    <w:rsid w:val="00234965"/>
    <w:rsid w:val="00235110"/>
    <w:rsid w:val="00235B12"/>
    <w:rsid w:val="002361D9"/>
    <w:rsid w:val="002366F3"/>
    <w:rsid w:val="00236809"/>
    <w:rsid w:val="002375F1"/>
    <w:rsid w:val="002377E1"/>
    <w:rsid w:val="00237C1F"/>
    <w:rsid w:val="00237F05"/>
    <w:rsid w:val="0024250D"/>
    <w:rsid w:val="002426B3"/>
    <w:rsid w:val="00242B0C"/>
    <w:rsid w:val="00242D83"/>
    <w:rsid w:val="00242D89"/>
    <w:rsid w:val="00244C82"/>
    <w:rsid w:val="00245300"/>
    <w:rsid w:val="0024557F"/>
    <w:rsid w:val="00245A65"/>
    <w:rsid w:val="002463F0"/>
    <w:rsid w:val="0024723D"/>
    <w:rsid w:val="002475A7"/>
    <w:rsid w:val="00247B65"/>
    <w:rsid w:val="00247E2F"/>
    <w:rsid w:val="00250830"/>
    <w:rsid w:val="002509CA"/>
    <w:rsid w:val="00250D54"/>
    <w:rsid w:val="002514F0"/>
    <w:rsid w:val="00251CCE"/>
    <w:rsid w:val="0025253A"/>
    <w:rsid w:val="002560A5"/>
    <w:rsid w:val="002573B9"/>
    <w:rsid w:val="00261EFD"/>
    <w:rsid w:val="00263ADC"/>
    <w:rsid w:val="002646DF"/>
    <w:rsid w:val="00265518"/>
    <w:rsid w:val="00265F46"/>
    <w:rsid w:val="0026699C"/>
    <w:rsid w:val="00266A23"/>
    <w:rsid w:val="00266BE0"/>
    <w:rsid w:val="002709B7"/>
    <w:rsid w:val="00271629"/>
    <w:rsid w:val="0027285E"/>
    <w:rsid w:val="00274A05"/>
    <w:rsid w:val="00276F01"/>
    <w:rsid w:val="002775DF"/>
    <w:rsid w:val="0028058A"/>
    <w:rsid w:val="00280D68"/>
    <w:rsid w:val="00280D75"/>
    <w:rsid w:val="00281946"/>
    <w:rsid w:val="00281DF5"/>
    <w:rsid w:val="00282BCE"/>
    <w:rsid w:val="00282F55"/>
    <w:rsid w:val="00283E97"/>
    <w:rsid w:val="00284703"/>
    <w:rsid w:val="0028526F"/>
    <w:rsid w:val="00285608"/>
    <w:rsid w:val="0028646E"/>
    <w:rsid w:val="0028685B"/>
    <w:rsid w:val="002876A6"/>
    <w:rsid w:val="00287B50"/>
    <w:rsid w:val="00287DDF"/>
    <w:rsid w:val="002900CF"/>
    <w:rsid w:val="002912E1"/>
    <w:rsid w:val="00291424"/>
    <w:rsid w:val="00291536"/>
    <w:rsid w:val="002916DC"/>
    <w:rsid w:val="00291B11"/>
    <w:rsid w:val="002932A6"/>
    <w:rsid w:val="002932EE"/>
    <w:rsid w:val="00294A1B"/>
    <w:rsid w:val="00294DFC"/>
    <w:rsid w:val="00295302"/>
    <w:rsid w:val="0029563B"/>
    <w:rsid w:val="00295E16"/>
    <w:rsid w:val="00296603"/>
    <w:rsid w:val="00297B0E"/>
    <w:rsid w:val="002A00E4"/>
    <w:rsid w:val="002A1202"/>
    <w:rsid w:val="002A2FCD"/>
    <w:rsid w:val="002A33B8"/>
    <w:rsid w:val="002A3E16"/>
    <w:rsid w:val="002A568E"/>
    <w:rsid w:val="002A684B"/>
    <w:rsid w:val="002A6D81"/>
    <w:rsid w:val="002A70FD"/>
    <w:rsid w:val="002A71C9"/>
    <w:rsid w:val="002B02AE"/>
    <w:rsid w:val="002B1C7E"/>
    <w:rsid w:val="002B228E"/>
    <w:rsid w:val="002B23EC"/>
    <w:rsid w:val="002B2414"/>
    <w:rsid w:val="002B3E00"/>
    <w:rsid w:val="002B4148"/>
    <w:rsid w:val="002B4450"/>
    <w:rsid w:val="002B4F61"/>
    <w:rsid w:val="002B5139"/>
    <w:rsid w:val="002B5317"/>
    <w:rsid w:val="002B53E4"/>
    <w:rsid w:val="002B56DA"/>
    <w:rsid w:val="002B5F02"/>
    <w:rsid w:val="002B6222"/>
    <w:rsid w:val="002B6589"/>
    <w:rsid w:val="002B7DE4"/>
    <w:rsid w:val="002B7E22"/>
    <w:rsid w:val="002C1757"/>
    <w:rsid w:val="002C2479"/>
    <w:rsid w:val="002C2E1A"/>
    <w:rsid w:val="002C2FF2"/>
    <w:rsid w:val="002C31E2"/>
    <w:rsid w:val="002C342C"/>
    <w:rsid w:val="002C34F2"/>
    <w:rsid w:val="002C3D3B"/>
    <w:rsid w:val="002C43C5"/>
    <w:rsid w:val="002C4832"/>
    <w:rsid w:val="002C58C7"/>
    <w:rsid w:val="002C6031"/>
    <w:rsid w:val="002C60CF"/>
    <w:rsid w:val="002C66DA"/>
    <w:rsid w:val="002C67D4"/>
    <w:rsid w:val="002C747B"/>
    <w:rsid w:val="002C7F08"/>
    <w:rsid w:val="002D0C9E"/>
    <w:rsid w:val="002D1187"/>
    <w:rsid w:val="002D1311"/>
    <w:rsid w:val="002D17F9"/>
    <w:rsid w:val="002D18B2"/>
    <w:rsid w:val="002D18D5"/>
    <w:rsid w:val="002D1EEE"/>
    <w:rsid w:val="002D29BB"/>
    <w:rsid w:val="002D3A39"/>
    <w:rsid w:val="002D5027"/>
    <w:rsid w:val="002D6F69"/>
    <w:rsid w:val="002E0438"/>
    <w:rsid w:val="002E0B0E"/>
    <w:rsid w:val="002E12A0"/>
    <w:rsid w:val="002E1995"/>
    <w:rsid w:val="002E305E"/>
    <w:rsid w:val="002E33E5"/>
    <w:rsid w:val="002E39B9"/>
    <w:rsid w:val="002E3B4E"/>
    <w:rsid w:val="002E4096"/>
    <w:rsid w:val="002E412F"/>
    <w:rsid w:val="002E43B6"/>
    <w:rsid w:val="002E5684"/>
    <w:rsid w:val="002E6293"/>
    <w:rsid w:val="002E75F2"/>
    <w:rsid w:val="002E7F41"/>
    <w:rsid w:val="002F02F2"/>
    <w:rsid w:val="002F0F76"/>
    <w:rsid w:val="002F1503"/>
    <w:rsid w:val="002F17EF"/>
    <w:rsid w:val="002F1B91"/>
    <w:rsid w:val="002F2C70"/>
    <w:rsid w:val="002F3812"/>
    <w:rsid w:val="002F4084"/>
    <w:rsid w:val="002F48EF"/>
    <w:rsid w:val="002F4F7D"/>
    <w:rsid w:val="002F538C"/>
    <w:rsid w:val="002F57A7"/>
    <w:rsid w:val="002F62C3"/>
    <w:rsid w:val="002F7A61"/>
    <w:rsid w:val="002F7FC8"/>
    <w:rsid w:val="003002C8"/>
    <w:rsid w:val="0030064D"/>
    <w:rsid w:val="00301A2D"/>
    <w:rsid w:val="00302C1D"/>
    <w:rsid w:val="00302E35"/>
    <w:rsid w:val="003030D5"/>
    <w:rsid w:val="00303C46"/>
    <w:rsid w:val="00304998"/>
    <w:rsid w:val="003064FC"/>
    <w:rsid w:val="003067DD"/>
    <w:rsid w:val="0030771F"/>
    <w:rsid w:val="00307F1F"/>
    <w:rsid w:val="0031295D"/>
    <w:rsid w:val="00312FD5"/>
    <w:rsid w:val="00313184"/>
    <w:rsid w:val="00313344"/>
    <w:rsid w:val="00313E61"/>
    <w:rsid w:val="00314806"/>
    <w:rsid w:val="00314EFA"/>
    <w:rsid w:val="00315D45"/>
    <w:rsid w:val="00316486"/>
    <w:rsid w:val="00316D3E"/>
    <w:rsid w:val="00320590"/>
    <w:rsid w:val="00321116"/>
    <w:rsid w:val="003213F6"/>
    <w:rsid w:val="0032154F"/>
    <w:rsid w:val="0032181F"/>
    <w:rsid w:val="00321D9C"/>
    <w:rsid w:val="0032209D"/>
    <w:rsid w:val="00322F58"/>
    <w:rsid w:val="00323751"/>
    <w:rsid w:val="003239D4"/>
    <w:rsid w:val="00323A5F"/>
    <w:rsid w:val="003259D4"/>
    <w:rsid w:val="00325C48"/>
    <w:rsid w:val="00325D84"/>
    <w:rsid w:val="003264F9"/>
    <w:rsid w:val="0032796D"/>
    <w:rsid w:val="003300FA"/>
    <w:rsid w:val="00331877"/>
    <w:rsid w:val="003322B0"/>
    <w:rsid w:val="00332BC8"/>
    <w:rsid w:val="003332A0"/>
    <w:rsid w:val="00333C0C"/>
    <w:rsid w:val="00333CEC"/>
    <w:rsid w:val="00334331"/>
    <w:rsid w:val="003348DB"/>
    <w:rsid w:val="003358FD"/>
    <w:rsid w:val="00335BB5"/>
    <w:rsid w:val="00336668"/>
    <w:rsid w:val="00337283"/>
    <w:rsid w:val="00337F36"/>
    <w:rsid w:val="0034004E"/>
    <w:rsid w:val="003401B8"/>
    <w:rsid w:val="00340B3C"/>
    <w:rsid w:val="0034112A"/>
    <w:rsid w:val="0034177B"/>
    <w:rsid w:val="00341C61"/>
    <w:rsid w:val="00342073"/>
    <w:rsid w:val="00342BAC"/>
    <w:rsid w:val="00342E2E"/>
    <w:rsid w:val="0034468E"/>
    <w:rsid w:val="003447C1"/>
    <w:rsid w:val="003456AD"/>
    <w:rsid w:val="0034582D"/>
    <w:rsid w:val="0034591C"/>
    <w:rsid w:val="00345D73"/>
    <w:rsid w:val="003464ED"/>
    <w:rsid w:val="00346725"/>
    <w:rsid w:val="00346CED"/>
    <w:rsid w:val="00347881"/>
    <w:rsid w:val="00351038"/>
    <w:rsid w:val="00351885"/>
    <w:rsid w:val="00351D93"/>
    <w:rsid w:val="00352108"/>
    <w:rsid w:val="003522D2"/>
    <w:rsid w:val="00352C7C"/>
    <w:rsid w:val="00353424"/>
    <w:rsid w:val="00353455"/>
    <w:rsid w:val="0035346C"/>
    <w:rsid w:val="00354791"/>
    <w:rsid w:val="00355438"/>
    <w:rsid w:val="00355B96"/>
    <w:rsid w:val="003561CC"/>
    <w:rsid w:val="0035622C"/>
    <w:rsid w:val="00361BDE"/>
    <w:rsid w:val="00362667"/>
    <w:rsid w:val="003630C0"/>
    <w:rsid w:val="00363F5B"/>
    <w:rsid w:val="00364B50"/>
    <w:rsid w:val="00365092"/>
    <w:rsid w:val="003672E0"/>
    <w:rsid w:val="00370122"/>
    <w:rsid w:val="003722E5"/>
    <w:rsid w:val="00373CFA"/>
    <w:rsid w:val="00373E86"/>
    <w:rsid w:val="0037502B"/>
    <w:rsid w:val="003752DE"/>
    <w:rsid w:val="00375945"/>
    <w:rsid w:val="00375B5B"/>
    <w:rsid w:val="0038096E"/>
    <w:rsid w:val="00381179"/>
    <w:rsid w:val="0038127F"/>
    <w:rsid w:val="003814C5"/>
    <w:rsid w:val="003841DC"/>
    <w:rsid w:val="00384345"/>
    <w:rsid w:val="00384736"/>
    <w:rsid w:val="00384EFE"/>
    <w:rsid w:val="00385577"/>
    <w:rsid w:val="0038581A"/>
    <w:rsid w:val="00385EB0"/>
    <w:rsid w:val="00386514"/>
    <w:rsid w:val="00386DB4"/>
    <w:rsid w:val="00387523"/>
    <w:rsid w:val="00387588"/>
    <w:rsid w:val="00391B09"/>
    <w:rsid w:val="00391EAF"/>
    <w:rsid w:val="003938D8"/>
    <w:rsid w:val="00394560"/>
    <w:rsid w:val="00394D70"/>
    <w:rsid w:val="0039599C"/>
    <w:rsid w:val="003A0BFD"/>
    <w:rsid w:val="003A160F"/>
    <w:rsid w:val="003A165C"/>
    <w:rsid w:val="003A38F0"/>
    <w:rsid w:val="003A3952"/>
    <w:rsid w:val="003A44C9"/>
    <w:rsid w:val="003A4628"/>
    <w:rsid w:val="003A4F7B"/>
    <w:rsid w:val="003A58D4"/>
    <w:rsid w:val="003A591E"/>
    <w:rsid w:val="003A59DE"/>
    <w:rsid w:val="003A5CC7"/>
    <w:rsid w:val="003A675B"/>
    <w:rsid w:val="003A7CAA"/>
    <w:rsid w:val="003B0A75"/>
    <w:rsid w:val="003B1048"/>
    <w:rsid w:val="003B16BC"/>
    <w:rsid w:val="003B1708"/>
    <w:rsid w:val="003B1C00"/>
    <w:rsid w:val="003B1FD3"/>
    <w:rsid w:val="003B2DFB"/>
    <w:rsid w:val="003B6155"/>
    <w:rsid w:val="003B6968"/>
    <w:rsid w:val="003C1178"/>
    <w:rsid w:val="003C2DE1"/>
    <w:rsid w:val="003C33B3"/>
    <w:rsid w:val="003C4559"/>
    <w:rsid w:val="003C4CBC"/>
    <w:rsid w:val="003C5A64"/>
    <w:rsid w:val="003C63A9"/>
    <w:rsid w:val="003C6A28"/>
    <w:rsid w:val="003C7516"/>
    <w:rsid w:val="003C7E3D"/>
    <w:rsid w:val="003D0594"/>
    <w:rsid w:val="003D15D1"/>
    <w:rsid w:val="003D23D9"/>
    <w:rsid w:val="003D24DD"/>
    <w:rsid w:val="003D376C"/>
    <w:rsid w:val="003D39AB"/>
    <w:rsid w:val="003D4076"/>
    <w:rsid w:val="003D483E"/>
    <w:rsid w:val="003D4894"/>
    <w:rsid w:val="003D5867"/>
    <w:rsid w:val="003D6D88"/>
    <w:rsid w:val="003E06E2"/>
    <w:rsid w:val="003E13A2"/>
    <w:rsid w:val="003E1B89"/>
    <w:rsid w:val="003E205F"/>
    <w:rsid w:val="003E22A0"/>
    <w:rsid w:val="003E3B52"/>
    <w:rsid w:val="003E3E3E"/>
    <w:rsid w:val="003E4916"/>
    <w:rsid w:val="003E5525"/>
    <w:rsid w:val="003E584E"/>
    <w:rsid w:val="003E647F"/>
    <w:rsid w:val="003E6DC7"/>
    <w:rsid w:val="003F1554"/>
    <w:rsid w:val="003F1C10"/>
    <w:rsid w:val="003F3FC4"/>
    <w:rsid w:val="003F4072"/>
    <w:rsid w:val="003F4CE0"/>
    <w:rsid w:val="003F56CF"/>
    <w:rsid w:val="003F5DAC"/>
    <w:rsid w:val="003F6444"/>
    <w:rsid w:val="003F66DB"/>
    <w:rsid w:val="003F71EF"/>
    <w:rsid w:val="003F75A8"/>
    <w:rsid w:val="003F7BDB"/>
    <w:rsid w:val="0040091D"/>
    <w:rsid w:val="00400F26"/>
    <w:rsid w:val="004019D5"/>
    <w:rsid w:val="00401EA8"/>
    <w:rsid w:val="00401EFA"/>
    <w:rsid w:val="00403F0B"/>
    <w:rsid w:val="004041BB"/>
    <w:rsid w:val="00404465"/>
    <w:rsid w:val="0040482F"/>
    <w:rsid w:val="00404FF8"/>
    <w:rsid w:val="00405649"/>
    <w:rsid w:val="00405BE4"/>
    <w:rsid w:val="0040714E"/>
    <w:rsid w:val="0040758A"/>
    <w:rsid w:val="0040794A"/>
    <w:rsid w:val="00407E1A"/>
    <w:rsid w:val="00407F34"/>
    <w:rsid w:val="004108C4"/>
    <w:rsid w:val="0041259A"/>
    <w:rsid w:val="00412C76"/>
    <w:rsid w:val="00413A53"/>
    <w:rsid w:val="004142D1"/>
    <w:rsid w:val="004148EF"/>
    <w:rsid w:val="00417684"/>
    <w:rsid w:val="00420FCF"/>
    <w:rsid w:val="00422E6C"/>
    <w:rsid w:val="00422FD7"/>
    <w:rsid w:val="004234E5"/>
    <w:rsid w:val="004239DE"/>
    <w:rsid w:val="00423DE0"/>
    <w:rsid w:val="00423FE5"/>
    <w:rsid w:val="00424405"/>
    <w:rsid w:val="00424EB4"/>
    <w:rsid w:val="004257AF"/>
    <w:rsid w:val="004260E2"/>
    <w:rsid w:val="00426E2A"/>
    <w:rsid w:val="00427062"/>
    <w:rsid w:val="0042753B"/>
    <w:rsid w:val="004307AE"/>
    <w:rsid w:val="00430A72"/>
    <w:rsid w:val="004313DC"/>
    <w:rsid w:val="0043151C"/>
    <w:rsid w:val="00432468"/>
    <w:rsid w:val="00433776"/>
    <w:rsid w:val="004346DF"/>
    <w:rsid w:val="00436BF8"/>
    <w:rsid w:val="00436D31"/>
    <w:rsid w:val="00436F71"/>
    <w:rsid w:val="004370F8"/>
    <w:rsid w:val="0043772A"/>
    <w:rsid w:val="00440C70"/>
    <w:rsid w:val="00440D37"/>
    <w:rsid w:val="0044194A"/>
    <w:rsid w:val="004425FF"/>
    <w:rsid w:val="00442B56"/>
    <w:rsid w:val="0044443C"/>
    <w:rsid w:val="004457F2"/>
    <w:rsid w:val="00445CA1"/>
    <w:rsid w:val="00445DA2"/>
    <w:rsid w:val="004460AA"/>
    <w:rsid w:val="004464B8"/>
    <w:rsid w:val="00446F39"/>
    <w:rsid w:val="00447549"/>
    <w:rsid w:val="00450724"/>
    <w:rsid w:val="004519D9"/>
    <w:rsid w:val="00452FDF"/>
    <w:rsid w:val="00453361"/>
    <w:rsid w:val="0045406A"/>
    <w:rsid w:val="0045474C"/>
    <w:rsid w:val="0045582C"/>
    <w:rsid w:val="004566A0"/>
    <w:rsid w:val="00457103"/>
    <w:rsid w:val="00457582"/>
    <w:rsid w:val="004576AE"/>
    <w:rsid w:val="0046060D"/>
    <w:rsid w:val="00460C54"/>
    <w:rsid w:val="00460E2D"/>
    <w:rsid w:val="00461B37"/>
    <w:rsid w:val="00461DE2"/>
    <w:rsid w:val="00462C40"/>
    <w:rsid w:val="004650DE"/>
    <w:rsid w:val="004655BB"/>
    <w:rsid w:val="004656C4"/>
    <w:rsid w:val="0046743A"/>
    <w:rsid w:val="00467747"/>
    <w:rsid w:val="00467ABE"/>
    <w:rsid w:val="00467D36"/>
    <w:rsid w:val="004713C8"/>
    <w:rsid w:val="00471ACF"/>
    <w:rsid w:val="00471C70"/>
    <w:rsid w:val="00471FE6"/>
    <w:rsid w:val="00473094"/>
    <w:rsid w:val="00473B15"/>
    <w:rsid w:val="00473FCF"/>
    <w:rsid w:val="00474221"/>
    <w:rsid w:val="00475725"/>
    <w:rsid w:val="00475AC4"/>
    <w:rsid w:val="004760DD"/>
    <w:rsid w:val="0047677B"/>
    <w:rsid w:val="00477655"/>
    <w:rsid w:val="004800CC"/>
    <w:rsid w:val="004805CA"/>
    <w:rsid w:val="0048093B"/>
    <w:rsid w:val="004811BE"/>
    <w:rsid w:val="004811EE"/>
    <w:rsid w:val="00481623"/>
    <w:rsid w:val="00481C7F"/>
    <w:rsid w:val="00481E4A"/>
    <w:rsid w:val="00482000"/>
    <w:rsid w:val="0048217C"/>
    <w:rsid w:val="00482717"/>
    <w:rsid w:val="004827AC"/>
    <w:rsid w:val="00483044"/>
    <w:rsid w:val="00483332"/>
    <w:rsid w:val="00486137"/>
    <w:rsid w:val="0048790B"/>
    <w:rsid w:val="0049072D"/>
    <w:rsid w:val="00490E27"/>
    <w:rsid w:val="00490FA4"/>
    <w:rsid w:val="004919A5"/>
    <w:rsid w:val="00492954"/>
    <w:rsid w:val="00492B1E"/>
    <w:rsid w:val="00492B4E"/>
    <w:rsid w:val="00493089"/>
    <w:rsid w:val="00493BF9"/>
    <w:rsid w:val="00494300"/>
    <w:rsid w:val="004944DE"/>
    <w:rsid w:val="00494935"/>
    <w:rsid w:val="00494CEB"/>
    <w:rsid w:val="004968C1"/>
    <w:rsid w:val="00497E5E"/>
    <w:rsid w:val="00497EE2"/>
    <w:rsid w:val="004A03F5"/>
    <w:rsid w:val="004A079D"/>
    <w:rsid w:val="004A1534"/>
    <w:rsid w:val="004A163C"/>
    <w:rsid w:val="004A18C0"/>
    <w:rsid w:val="004A1D9C"/>
    <w:rsid w:val="004A37A3"/>
    <w:rsid w:val="004A3C2B"/>
    <w:rsid w:val="004A41B2"/>
    <w:rsid w:val="004A52BB"/>
    <w:rsid w:val="004A583D"/>
    <w:rsid w:val="004A5DFC"/>
    <w:rsid w:val="004A609D"/>
    <w:rsid w:val="004B0BF5"/>
    <w:rsid w:val="004B1690"/>
    <w:rsid w:val="004B199B"/>
    <w:rsid w:val="004B1AAC"/>
    <w:rsid w:val="004B20EC"/>
    <w:rsid w:val="004B2A60"/>
    <w:rsid w:val="004B2A64"/>
    <w:rsid w:val="004B3410"/>
    <w:rsid w:val="004B370A"/>
    <w:rsid w:val="004B3B54"/>
    <w:rsid w:val="004B4ACF"/>
    <w:rsid w:val="004B4FA4"/>
    <w:rsid w:val="004B515E"/>
    <w:rsid w:val="004B595B"/>
    <w:rsid w:val="004B5FC3"/>
    <w:rsid w:val="004B6165"/>
    <w:rsid w:val="004C0233"/>
    <w:rsid w:val="004C04B1"/>
    <w:rsid w:val="004C0876"/>
    <w:rsid w:val="004C0962"/>
    <w:rsid w:val="004C09B0"/>
    <w:rsid w:val="004C100C"/>
    <w:rsid w:val="004C12FF"/>
    <w:rsid w:val="004C1AC2"/>
    <w:rsid w:val="004C2408"/>
    <w:rsid w:val="004C273D"/>
    <w:rsid w:val="004C2E56"/>
    <w:rsid w:val="004C2EEC"/>
    <w:rsid w:val="004C515A"/>
    <w:rsid w:val="004C5D82"/>
    <w:rsid w:val="004C6C23"/>
    <w:rsid w:val="004C794A"/>
    <w:rsid w:val="004C79F1"/>
    <w:rsid w:val="004D0172"/>
    <w:rsid w:val="004D0F04"/>
    <w:rsid w:val="004D0FCD"/>
    <w:rsid w:val="004D1550"/>
    <w:rsid w:val="004D2362"/>
    <w:rsid w:val="004D25CB"/>
    <w:rsid w:val="004D44EA"/>
    <w:rsid w:val="004D454A"/>
    <w:rsid w:val="004D4686"/>
    <w:rsid w:val="004D5549"/>
    <w:rsid w:val="004D6A7C"/>
    <w:rsid w:val="004D6E24"/>
    <w:rsid w:val="004D78A5"/>
    <w:rsid w:val="004E10C6"/>
    <w:rsid w:val="004E182E"/>
    <w:rsid w:val="004E19C9"/>
    <w:rsid w:val="004E1EDC"/>
    <w:rsid w:val="004E2B87"/>
    <w:rsid w:val="004E2F66"/>
    <w:rsid w:val="004E51C1"/>
    <w:rsid w:val="004E79EE"/>
    <w:rsid w:val="004E7EF5"/>
    <w:rsid w:val="004F0D54"/>
    <w:rsid w:val="004F0E4E"/>
    <w:rsid w:val="004F0E7F"/>
    <w:rsid w:val="004F1FAB"/>
    <w:rsid w:val="004F2038"/>
    <w:rsid w:val="004F25FE"/>
    <w:rsid w:val="004F2F3B"/>
    <w:rsid w:val="004F356C"/>
    <w:rsid w:val="004F4529"/>
    <w:rsid w:val="004F4678"/>
    <w:rsid w:val="004F516C"/>
    <w:rsid w:val="004F7350"/>
    <w:rsid w:val="004F735F"/>
    <w:rsid w:val="004F7934"/>
    <w:rsid w:val="004F7D82"/>
    <w:rsid w:val="00500805"/>
    <w:rsid w:val="0050110A"/>
    <w:rsid w:val="00502213"/>
    <w:rsid w:val="00502A0B"/>
    <w:rsid w:val="00502B34"/>
    <w:rsid w:val="00505180"/>
    <w:rsid w:val="00505434"/>
    <w:rsid w:val="00505E2A"/>
    <w:rsid w:val="00505E44"/>
    <w:rsid w:val="005072D1"/>
    <w:rsid w:val="00507660"/>
    <w:rsid w:val="0050778B"/>
    <w:rsid w:val="005078CA"/>
    <w:rsid w:val="00510341"/>
    <w:rsid w:val="00510E2E"/>
    <w:rsid w:val="00511522"/>
    <w:rsid w:val="00511CDF"/>
    <w:rsid w:val="0051215F"/>
    <w:rsid w:val="00512F63"/>
    <w:rsid w:val="00513A2D"/>
    <w:rsid w:val="00513DB1"/>
    <w:rsid w:val="005163E3"/>
    <w:rsid w:val="00517111"/>
    <w:rsid w:val="00517A7A"/>
    <w:rsid w:val="00517CAB"/>
    <w:rsid w:val="0052059C"/>
    <w:rsid w:val="00520F7B"/>
    <w:rsid w:val="005216A9"/>
    <w:rsid w:val="00521B01"/>
    <w:rsid w:val="00521E37"/>
    <w:rsid w:val="005221A1"/>
    <w:rsid w:val="00522EA1"/>
    <w:rsid w:val="0052374B"/>
    <w:rsid w:val="00523F11"/>
    <w:rsid w:val="00523F99"/>
    <w:rsid w:val="0052616E"/>
    <w:rsid w:val="00526802"/>
    <w:rsid w:val="00526ED3"/>
    <w:rsid w:val="00527816"/>
    <w:rsid w:val="00527928"/>
    <w:rsid w:val="005300DA"/>
    <w:rsid w:val="00530B8D"/>
    <w:rsid w:val="00530BB2"/>
    <w:rsid w:val="005318F3"/>
    <w:rsid w:val="00531C32"/>
    <w:rsid w:val="00531E4F"/>
    <w:rsid w:val="00532028"/>
    <w:rsid w:val="0053225D"/>
    <w:rsid w:val="005324C2"/>
    <w:rsid w:val="00533130"/>
    <w:rsid w:val="0053329F"/>
    <w:rsid w:val="005349D6"/>
    <w:rsid w:val="00534CBF"/>
    <w:rsid w:val="0053514B"/>
    <w:rsid w:val="00536321"/>
    <w:rsid w:val="005363E9"/>
    <w:rsid w:val="00537057"/>
    <w:rsid w:val="00537764"/>
    <w:rsid w:val="00537CCF"/>
    <w:rsid w:val="00541B38"/>
    <w:rsid w:val="00542039"/>
    <w:rsid w:val="00543931"/>
    <w:rsid w:val="00543F8B"/>
    <w:rsid w:val="0054488D"/>
    <w:rsid w:val="00544C73"/>
    <w:rsid w:val="00544E0C"/>
    <w:rsid w:val="0054562C"/>
    <w:rsid w:val="00545985"/>
    <w:rsid w:val="00550360"/>
    <w:rsid w:val="005508DD"/>
    <w:rsid w:val="0055119A"/>
    <w:rsid w:val="00551BEB"/>
    <w:rsid w:val="00551C28"/>
    <w:rsid w:val="00552E02"/>
    <w:rsid w:val="005533D8"/>
    <w:rsid w:val="00553496"/>
    <w:rsid w:val="00553F88"/>
    <w:rsid w:val="00554D88"/>
    <w:rsid w:val="00554EE0"/>
    <w:rsid w:val="005552CB"/>
    <w:rsid w:val="00555639"/>
    <w:rsid w:val="00555FF6"/>
    <w:rsid w:val="0055663C"/>
    <w:rsid w:val="005569A8"/>
    <w:rsid w:val="0055774A"/>
    <w:rsid w:val="005578D8"/>
    <w:rsid w:val="00561991"/>
    <w:rsid w:val="00561C92"/>
    <w:rsid w:val="00561F50"/>
    <w:rsid w:val="00562B50"/>
    <w:rsid w:val="00563874"/>
    <w:rsid w:val="00563EA6"/>
    <w:rsid w:val="00564184"/>
    <w:rsid w:val="00564D5F"/>
    <w:rsid w:val="00564ED3"/>
    <w:rsid w:val="00565643"/>
    <w:rsid w:val="005665AC"/>
    <w:rsid w:val="005677AB"/>
    <w:rsid w:val="005678C4"/>
    <w:rsid w:val="00570028"/>
    <w:rsid w:val="00571C16"/>
    <w:rsid w:val="00571DCB"/>
    <w:rsid w:val="00571E85"/>
    <w:rsid w:val="00572391"/>
    <w:rsid w:val="00572A85"/>
    <w:rsid w:val="00573537"/>
    <w:rsid w:val="00573A68"/>
    <w:rsid w:val="00573D40"/>
    <w:rsid w:val="005740D6"/>
    <w:rsid w:val="005743BA"/>
    <w:rsid w:val="00574C08"/>
    <w:rsid w:val="0057709F"/>
    <w:rsid w:val="00577F11"/>
    <w:rsid w:val="005801D1"/>
    <w:rsid w:val="0058032A"/>
    <w:rsid w:val="00580888"/>
    <w:rsid w:val="00581549"/>
    <w:rsid w:val="00582C33"/>
    <w:rsid w:val="005835F5"/>
    <w:rsid w:val="00584093"/>
    <w:rsid w:val="00584F49"/>
    <w:rsid w:val="00585462"/>
    <w:rsid w:val="005855E4"/>
    <w:rsid w:val="00586633"/>
    <w:rsid w:val="0058701D"/>
    <w:rsid w:val="00587180"/>
    <w:rsid w:val="00587D26"/>
    <w:rsid w:val="00587DF9"/>
    <w:rsid w:val="00590133"/>
    <w:rsid w:val="00590A4A"/>
    <w:rsid w:val="00591048"/>
    <w:rsid w:val="00591697"/>
    <w:rsid w:val="00592821"/>
    <w:rsid w:val="00592D20"/>
    <w:rsid w:val="00593337"/>
    <w:rsid w:val="00594A8A"/>
    <w:rsid w:val="00595912"/>
    <w:rsid w:val="00595AF7"/>
    <w:rsid w:val="00595F51"/>
    <w:rsid w:val="0059687E"/>
    <w:rsid w:val="00596DD9"/>
    <w:rsid w:val="0059767E"/>
    <w:rsid w:val="00597EDC"/>
    <w:rsid w:val="005A1668"/>
    <w:rsid w:val="005A2079"/>
    <w:rsid w:val="005A246F"/>
    <w:rsid w:val="005A25ED"/>
    <w:rsid w:val="005A2A58"/>
    <w:rsid w:val="005A42CE"/>
    <w:rsid w:val="005A434E"/>
    <w:rsid w:val="005A459A"/>
    <w:rsid w:val="005A5433"/>
    <w:rsid w:val="005A58B9"/>
    <w:rsid w:val="005A7186"/>
    <w:rsid w:val="005B0746"/>
    <w:rsid w:val="005B103F"/>
    <w:rsid w:val="005B1053"/>
    <w:rsid w:val="005B12B7"/>
    <w:rsid w:val="005B28F4"/>
    <w:rsid w:val="005B3C1E"/>
    <w:rsid w:val="005B454F"/>
    <w:rsid w:val="005B5083"/>
    <w:rsid w:val="005B564E"/>
    <w:rsid w:val="005B5701"/>
    <w:rsid w:val="005B570A"/>
    <w:rsid w:val="005B608C"/>
    <w:rsid w:val="005B7109"/>
    <w:rsid w:val="005B760D"/>
    <w:rsid w:val="005B7FAA"/>
    <w:rsid w:val="005C2B30"/>
    <w:rsid w:val="005C3184"/>
    <w:rsid w:val="005C3414"/>
    <w:rsid w:val="005C3757"/>
    <w:rsid w:val="005C43F2"/>
    <w:rsid w:val="005C4AD0"/>
    <w:rsid w:val="005C5633"/>
    <w:rsid w:val="005C6D44"/>
    <w:rsid w:val="005C6F15"/>
    <w:rsid w:val="005D080C"/>
    <w:rsid w:val="005D177B"/>
    <w:rsid w:val="005D2786"/>
    <w:rsid w:val="005D2DBC"/>
    <w:rsid w:val="005D2E99"/>
    <w:rsid w:val="005D3539"/>
    <w:rsid w:val="005D4233"/>
    <w:rsid w:val="005D4C12"/>
    <w:rsid w:val="005D4F36"/>
    <w:rsid w:val="005D61AC"/>
    <w:rsid w:val="005D6E3A"/>
    <w:rsid w:val="005D6FE2"/>
    <w:rsid w:val="005D73BF"/>
    <w:rsid w:val="005D78F1"/>
    <w:rsid w:val="005E03D1"/>
    <w:rsid w:val="005E0C04"/>
    <w:rsid w:val="005E0EAB"/>
    <w:rsid w:val="005E0F7A"/>
    <w:rsid w:val="005E1696"/>
    <w:rsid w:val="005E189B"/>
    <w:rsid w:val="005E234F"/>
    <w:rsid w:val="005E2580"/>
    <w:rsid w:val="005E305D"/>
    <w:rsid w:val="005E30BD"/>
    <w:rsid w:val="005E3366"/>
    <w:rsid w:val="005E3E02"/>
    <w:rsid w:val="005E3F6D"/>
    <w:rsid w:val="005E476B"/>
    <w:rsid w:val="005E52F3"/>
    <w:rsid w:val="005E54B2"/>
    <w:rsid w:val="005E5990"/>
    <w:rsid w:val="005E5AB8"/>
    <w:rsid w:val="005E7E84"/>
    <w:rsid w:val="005F0299"/>
    <w:rsid w:val="005F14D5"/>
    <w:rsid w:val="005F18FF"/>
    <w:rsid w:val="005F1C2F"/>
    <w:rsid w:val="005F1E72"/>
    <w:rsid w:val="005F2E3F"/>
    <w:rsid w:val="005F4510"/>
    <w:rsid w:val="005F5695"/>
    <w:rsid w:val="005F56A0"/>
    <w:rsid w:val="005F63CB"/>
    <w:rsid w:val="005F6BF1"/>
    <w:rsid w:val="005F7378"/>
    <w:rsid w:val="005F750C"/>
    <w:rsid w:val="00600E44"/>
    <w:rsid w:val="006014F1"/>
    <w:rsid w:val="006030B0"/>
    <w:rsid w:val="00603CF8"/>
    <w:rsid w:val="00604434"/>
    <w:rsid w:val="006044CF"/>
    <w:rsid w:val="006046E0"/>
    <w:rsid w:val="00604ADD"/>
    <w:rsid w:val="00604E64"/>
    <w:rsid w:val="00605053"/>
    <w:rsid w:val="006070F3"/>
    <w:rsid w:val="00607EF0"/>
    <w:rsid w:val="00610849"/>
    <w:rsid w:val="00610B68"/>
    <w:rsid w:val="00611003"/>
    <w:rsid w:val="00611A55"/>
    <w:rsid w:val="00611CB3"/>
    <w:rsid w:val="00611E5A"/>
    <w:rsid w:val="00613EAB"/>
    <w:rsid w:val="00614CEE"/>
    <w:rsid w:val="00616943"/>
    <w:rsid w:val="00616A4A"/>
    <w:rsid w:val="00616B74"/>
    <w:rsid w:val="00617A87"/>
    <w:rsid w:val="00620874"/>
    <w:rsid w:val="0062370F"/>
    <w:rsid w:val="006241C3"/>
    <w:rsid w:val="00624EB3"/>
    <w:rsid w:val="00626A89"/>
    <w:rsid w:val="00627EC8"/>
    <w:rsid w:val="006302D2"/>
    <w:rsid w:val="00631B68"/>
    <w:rsid w:val="006326D0"/>
    <w:rsid w:val="00632DDA"/>
    <w:rsid w:val="0063301F"/>
    <w:rsid w:val="00633C34"/>
    <w:rsid w:val="00633F16"/>
    <w:rsid w:val="00633F8C"/>
    <w:rsid w:val="00634857"/>
    <w:rsid w:val="00634E69"/>
    <w:rsid w:val="00635351"/>
    <w:rsid w:val="00636553"/>
    <w:rsid w:val="00636BA0"/>
    <w:rsid w:val="00636D2C"/>
    <w:rsid w:val="00640702"/>
    <w:rsid w:val="0064253E"/>
    <w:rsid w:val="00642543"/>
    <w:rsid w:val="00642B30"/>
    <w:rsid w:val="0064335C"/>
    <w:rsid w:val="006435F1"/>
    <w:rsid w:val="0064360F"/>
    <w:rsid w:val="00643990"/>
    <w:rsid w:val="006463F0"/>
    <w:rsid w:val="006505A6"/>
    <w:rsid w:val="00650AD9"/>
    <w:rsid w:val="006511C2"/>
    <w:rsid w:val="0065182A"/>
    <w:rsid w:val="00651FA8"/>
    <w:rsid w:val="0065208C"/>
    <w:rsid w:val="0065233C"/>
    <w:rsid w:val="00652F9B"/>
    <w:rsid w:val="00653A97"/>
    <w:rsid w:val="00653D81"/>
    <w:rsid w:val="00653F75"/>
    <w:rsid w:val="006545EF"/>
    <w:rsid w:val="00660268"/>
    <w:rsid w:val="006610B1"/>
    <w:rsid w:val="00661739"/>
    <w:rsid w:val="00662000"/>
    <w:rsid w:val="00662919"/>
    <w:rsid w:val="006637E9"/>
    <w:rsid w:val="00663F8B"/>
    <w:rsid w:val="006649C2"/>
    <w:rsid w:val="00665C7A"/>
    <w:rsid w:val="00665DDF"/>
    <w:rsid w:val="006661DD"/>
    <w:rsid w:val="00666825"/>
    <w:rsid w:val="00666C22"/>
    <w:rsid w:val="006674AC"/>
    <w:rsid w:val="006675FE"/>
    <w:rsid w:val="00667A67"/>
    <w:rsid w:val="00667D8E"/>
    <w:rsid w:val="00670494"/>
    <w:rsid w:val="00670B0E"/>
    <w:rsid w:val="00670E97"/>
    <w:rsid w:val="00670EDF"/>
    <w:rsid w:val="00674878"/>
    <w:rsid w:val="00675AE2"/>
    <w:rsid w:val="006770B0"/>
    <w:rsid w:val="00681453"/>
    <w:rsid w:val="00682BB2"/>
    <w:rsid w:val="00684B8A"/>
    <w:rsid w:val="00684D43"/>
    <w:rsid w:val="0068580A"/>
    <w:rsid w:val="00685838"/>
    <w:rsid w:val="00685DF4"/>
    <w:rsid w:val="00685F13"/>
    <w:rsid w:val="006867D4"/>
    <w:rsid w:val="00686B6C"/>
    <w:rsid w:val="006877F6"/>
    <w:rsid w:val="006878D0"/>
    <w:rsid w:val="00687EA6"/>
    <w:rsid w:val="00690047"/>
    <w:rsid w:val="006905AC"/>
    <w:rsid w:val="006906D6"/>
    <w:rsid w:val="00691F76"/>
    <w:rsid w:val="006927B2"/>
    <w:rsid w:val="00693AAA"/>
    <w:rsid w:val="00694D55"/>
    <w:rsid w:val="00695242"/>
    <w:rsid w:val="00695608"/>
    <w:rsid w:val="00695CF3"/>
    <w:rsid w:val="00696817"/>
    <w:rsid w:val="006A093A"/>
    <w:rsid w:val="006A0B12"/>
    <w:rsid w:val="006A0B93"/>
    <w:rsid w:val="006A15FB"/>
    <w:rsid w:val="006A2DAC"/>
    <w:rsid w:val="006A4098"/>
    <w:rsid w:val="006A5124"/>
    <w:rsid w:val="006A64CC"/>
    <w:rsid w:val="006A6F28"/>
    <w:rsid w:val="006A7584"/>
    <w:rsid w:val="006A7BCF"/>
    <w:rsid w:val="006B09E6"/>
    <w:rsid w:val="006B0AD8"/>
    <w:rsid w:val="006B27D9"/>
    <w:rsid w:val="006B385F"/>
    <w:rsid w:val="006B393E"/>
    <w:rsid w:val="006B47B1"/>
    <w:rsid w:val="006B5327"/>
    <w:rsid w:val="006B557C"/>
    <w:rsid w:val="006B5958"/>
    <w:rsid w:val="006B6414"/>
    <w:rsid w:val="006B7893"/>
    <w:rsid w:val="006C0050"/>
    <w:rsid w:val="006C10D8"/>
    <w:rsid w:val="006C12A6"/>
    <w:rsid w:val="006C1400"/>
    <w:rsid w:val="006C1DBC"/>
    <w:rsid w:val="006C2174"/>
    <w:rsid w:val="006C2282"/>
    <w:rsid w:val="006C286C"/>
    <w:rsid w:val="006C2942"/>
    <w:rsid w:val="006C3F20"/>
    <w:rsid w:val="006C4D03"/>
    <w:rsid w:val="006C62C4"/>
    <w:rsid w:val="006C7AE9"/>
    <w:rsid w:val="006D0B2C"/>
    <w:rsid w:val="006D1294"/>
    <w:rsid w:val="006D1389"/>
    <w:rsid w:val="006D248E"/>
    <w:rsid w:val="006D382D"/>
    <w:rsid w:val="006D4BAF"/>
    <w:rsid w:val="006D5314"/>
    <w:rsid w:val="006D550C"/>
    <w:rsid w:val="006D5719"/>
    <w:rsid w:val="006D7A21"/>
    <w:rsid w:val="006E1387"/>
    <w:rsid w:val="006E27A5"/>
    <w:rsid w:val="006E297D"/>
    <w:rsid w:val="006E29CF"/>
    <w:rsid w:val="006E2F07"/>
    <w:rsid w:val="006E60A3"/>
    <w:rsid w:val="006F01B2"/>
    <w:rsid w:val="006F056C"/>
    <w:rsid w:val="006F0EAE"/>
    <w:rsid w:val="006F2B12"/>
    <w:rsid w:val="006F2F30"/>
    <w:rsid w:val="006F4128"/>
    <w:rsid w:val="006F592F"/>
    <w:rsid w:val="006F5CA3"/>
    <w:rsid w:val="006F675C"/>
    <w:rsid w:val="006F6FD4"/>
    <w:rsid w:val="007000DD"/>
    <w:rsid w:val="00700431"/>
    <w:rsid w:val="0070201E"/>
    <w:rsid w:val="007027B2"/>
    <w:rsid w:val="00703714"/>
    <w:rsid w:val="0070373A"/>
    <w:rsid w:val="007038ED"/>
    <w:rsid w:val="007051B7"/>
    <w:rsid w:val="00705C65"/>
    <w:rsid w:val="00705D0F"/>
    <w:rsid w:val="0070641C"/>
    <w:rsid w:val="00706A77"/>
    <w:rsid w:val="00706ED8"/>
    <w:rsid w:val="0070769A"/>
    <w:rsid w:val="00707E3D"/>
    <w:rsid w:val="00710055"/>
    <w:rsid w:val="00710095"/>
    <w:rsid w:val="00710209"/>
    <w:rsid w:val="007109B7"/>
    <w:rsid w:val="007129C1"/>
    <w:rsid w:val="00713125"/>
    <w:rsid w:val="00713BC2"/>
    <w:rsid w:val="007146DE"/>
    <w:rsid w:val="007148E2"/>
    <w:rsid w:val="007150F1"/>
    <w:rsid w:val="00715864"/>
    <w:rsid w:val="00716EA8"/>
    <w:rsid w:val="007201F3"/>
    <w:rsid w:val="00720B6B"/>
    <w:rsid w:val="00721A3B"/>
    <w:rsid w:val="0072253A"/>
    <w:rsid w:val="00722D09"/>
    <w:rsid w:val="007234DE"/>
    <w:rsid w:val="00723609"/>
    <w:rsid w:val="00724ADF"/>
    <w:rsid w:val="00725779"/>
    <w:rsid w:val="00726060"/>
    <w:rsid w:val="00726858"/>
    <w:rsid w:val="00726CC0"/>
    <w:rsid w:val="00726D8D"/>
    <w:rsid w:val="00727644"/>
    <w:rsid w:val="00727BA3"/>
    <w:rsid w:val="00730F65"/>
    <w:rsid w:val="007342B4"/>
    <w:rsid w:val="00734D41"/>
    <w:rsid w:val="007355F9"/>
    <w:rsid w:val="00735E4D"/>
    <w:rsid w:val="007365B7"/>
    <w:rsid w:val="00737F0E"/>
    <w:rsid w:val="00740F20"/>
    <w:rsid w:val="0074130E"/>
    <w:rsid w:val="0074168F"/>
    <w:rsid w:val="00741980"/>
    <w:rsid w:val="007433CC"/>
    <w:rsid w:val="007434D5"/>
    <w:rsid w:val="007439F9"/>
    <w:rsid w:val="00744649"/>
    <w:rsid w:val="00746968"/>
    <w:rsid w:val="00746BF1"/>
    <w:rsid w:val="007470B9"/>
    <w:rsid w:val="00747A6C"/>
    <w:rsid w:val="00747C59"/>
    <w:rsid w:val="0075019E"/>
    <w:rsid w:val="007502C3"/>
    <w:rsid w:val="007502CB"/>
    <w:rsid w:val="0075045E"/>
    <w:rsid w:val="007508FE"/>
    <w:rsid w:val="00751189"/>
    <w:rsid w:val="00751B8A"/>
    <w:rsid w:val="007526C8"/>
    <w:rsid w:val="007526CF"/>
    <w:rsid w:val="007547E2"/>
    <w:rsid w:val="00754B2B"/>
    <w:rsid w:val="00754ED9"/>
    <w:rsid w:val="0075677C"/>
    <w:rsid w:val="00756D0C"/>
    <w:rsid w:val="00756E2B"/>
    <w:rsid w:val="0076084C"/>
    <w:rsid w:val="00761FB6"/>
    <w:rsid w:val="00762308"/>
    <w:rsid w:val="0076296B"/>
    <w:rsid w:val="007641EE"/>
    <w:rsid w:val="00764DC1"/>
    <w:rsid w:val="00764EE6"/>
    <w:rsid w:val="00766A86"/>
    <w:rsid w:val="00766F6D"/>
    <w:rsid w:val="00766F89"/>
    <w:rsid w:val="007670ED"/>
    <w:rsid w:val="0076718B"/>
    <w:rsid w:val="007676CF"/>
    <w:rsid w:val="007678D5"/>
    <w:rsid w:val="0076798C"/>
    <w:rsid w:val="00767B8F"/>
    <w:rsid w:val="00770911"/>
    <w:rsid w:val="007719ED"/>
    <w:rsid w:val="00771D89"/>
    <w:rsid w:val="007723CA"/>
    <w:rsid w:val="0077277B"/>
    <w:rsid w:val="00772DC8"/>
    <w:rsid w:val="00772F9D"/>
    <w:rsid w:val="00773550"/>
    <w:rsid w:val="00773F5B"/>
    <w:rsid w:val="00775B00"/>
    <w:rsid w:val="00775D76"/>
    <w:rsid w:val="007766B8"/>
    <w:rsid w:val="00777079"/>
    <w:rsid w:val="007771B4"/>
    <w:rsid w:val="0077749C"/>
    <w:rsid w:val="00777638"/>
    <w:rsid w:val="0077784F"/>
    <w:rsid w:val="00780582"/>
    <w:rsid w:val="0078079C"/>
    <w:rsid w:val="007818F0"/>
    <w:rsid w:val="0078193E"/>
    <w:rsid w:val="00781B57"/>
    <w:rsid w:val="00782489"/>
    <w:rsid w:val="007860AA"/>
    <w:rsid w:val="0078766C"/>
    <w:rsid w:val="00787C6F"/>
    <w:rsid w:val="00791C48"/>
    <w:rsid w:val="00791D37"/>
    <w:rsid w:val="00791E9D"/>
    <w:rsid w:val="007928D9"/>
    <w:rsid w:val="0079474B"/>
    <w:rsid w:val="00795843"/>
    <w:rsid w:val="00797091"/>
    <w:rsid w:val="007972CB"/>
    <w:rsid w:val="007A0A1F"/>
    <w:rsid w:val="007A1AA3"/>
    <w:rsid w:val="007A1BC0"/>
    <w:rsid w:val="007A226A"/>
    <w:rsid w:val="007A256B"/>
    <w:rsid w:val="007A279E"/>
    <w:rsid w:val="007A2B93"/>
    <w:rsid w:val="007A4029"/>
    <w:rsid w:val="007A478F"/>
    <w:rsid w:val="007A49C5"/>
    <w:rsid w:val="007A56A9"/>
    <w:rsid w:val="007A5D98"/>
    <w:rsid w:val="007A62E8"/>
    <w:rsid w:val="007A6FC1"/>
    <w:rsid w:val="007A79CF"/>
    <w:rsid w:val="007A7D31"/>
    <w:rsid w:val="007A7E49"/>
    <w:rsid w:val="007B049C"/>
    <w:rsid w:val="007B08D6"/>
    <w:rsid w:val="007B0950"/>
    <w:rsid w:val="007B1480"/>
    <w:rsid w:val="007B24CA"/>
    <w:rsid w:val="007B3ADE"/>
    <w:rsid w:val="007B43B9"/>
    <w:rsid w:val="007B44E2"/>
    <w:rsid w:val="007B49ED"/>
    <w:rsid w:val="007B4CA0"/>
    <w:rsid w:val="007B50A3"/>
    <w:rsid w:val="007B5D92"/>
    <w:rsid w:val="007B5DB0"/>
    <w:rsid w:val="007B5FBA"/>
    <w:rsid w:val="007B68DB"/>
    <w:rsid w:val="007B696C"/>
    <w:rsid w:val="007B6AA7"/>
    <w:rsid w:val="007C04FA"/>
    <w:rsid w:val="007C1763"/>
    <w:rsid w:val="007C1FEB"/>
    <w:rsid w:val="007C228B"/>
    <w:rsid w:val="007C2BF7"/>
    <w:rsid w:val="007C2CB8"/>
    <w:rsid w:val="007C2E37"/>
    <w:rsid w:val="007C32ED"/>
    <w:rsid w:val="007C3A1D"/>
    <w:rsid w:val="007C4D51"/>
    <w:rsid w:val="007C74CC"/>
    <w:rsid w:val="007C7E69"/>
    <w:rsid w:val="007D11EA"/>
    <w:rsid w:val="007D24BE"/>
    <w:rsid w:val="007D2C55"/>
    <w:rsid w:val="007D3140"/>
    <w:rsid w:val="007D3C61"/>
    <w:rsid w:val="007D3E21"/>
    <w:rsid w:val="007D3EC0"/>
    <w:rsid w:val="007D5926"/>
    <w:rsid w:val="007D653F"/>
    <w:rsid w:val="007D775E"/>
    <w:rsid w:val="007D7DDA"/>
    <w:rsid w:val="007E0E38"/>
    <w:rsid w:val="007E2282"/>
    <w:rsid w:val="007E22CC"/>
    <w:rsid w:val="007E26E4"/>
    <w:rsid w:val="007E52FB"/>
    <w:rsid w:val="007E586F"/>
    <w:rsid w:val="007E5A6D"/>
    <w:rsid w:val="007E6216"/>
    <w:rsid w:val="007E6324"/>
    <w:rsid w:val="007E74A2"/>
    <w:rsid w:val="007E7849"/>
    <w:rsid w:val="007E7F05"/>
    <w:rsid w:val="007F061B"/>
    <w:rsid w:val="007F0DAC"/>
    <w:rsid w:val="007F0E86"/>
    <w:rsid w:val="007F1D86"/>
    <w:rsid w:val="007F26B4"/>
    <w:rsid w:val="007F2C13"/>
    <w:rsid w:val="007F3949"/>
    <w:rsid w:val="007F712A"/>
    <w:rsid w:val="00803212"/>
    <w:rsid w:val="0080329D"/>
    <w:rsid w:val="00804D29"/>
    <w:rsid w:val="00805539"/>
    <w:rsid w:val="008057D9"/>
    <w:rsid w:val="00807B58"/>
    <w:rsid w:val="008101AA"/>
    <w:rsid w:val="00810C58"/>
    <w:rsid w:val="0081138D"/>
    <w:rsid w:val="008120E0"/>
    <w:rsid w:val="00812F7F"/>
    <w:rsid w:val="008136DB"/>
    <w:rsid w:val="00813EF9"/>
    <w:rsid w:val="00813FFF"/>
    <w:rsid w:val="00814530"/>
    <w:rsid w:val="00814733"/>
    <w:rsid w:val="00814F19"/>
    <w:rsid w:val="00815561"/>
    <w:rsid w:val="0081697B"/>
    <w:rsid w:val="00816AC5"/>
    <w:rsid w:val="00816EE1"/>
    <w:rsid w:val="0081756A"/>
    <w:rsid w:val="008203AC"/>
    <w:rsid w:val="008203DC"/>
    <w:rsid w:val="008203FF"/>
    <w:rsid w:val="00820B3D"/>
    <w:rsid w:val="00822D73"/>
    <w:rsid w:val="00823272"/>
    <w:rsid w:val="00823361"/>
    <w:rsid w:val="0082387F"/>
    <w:rsid w:val="008259AC"/>
    <w:rsid w:val="00825A15"/>
    <w:rsid w:val="00825AB5"/>
    <w:rsid w:val="008278AA"/>
    <w:rsid w:val="00827CAF"/>
    <w:rsid w:val="00830704"/>
    <w:rsid w:val="00831367"/>
    <w:rsid w:val="00832BAC"/>
    <w:rsid w:val="00833346"/>
    <w:rsid w:val="00835574"/>
    <w:rsid w:val="00836110"/>
    <w:rsid w:val="00836291"/>
    <w:rsid w:val="00836C48"/>
    <w:rsid w:val="00836FBA"/>
    <w:rsid w:val="00837181"/>
    <w:rsid w:val="008375F4"/>
    <w:rsid w:val="00837C7C"/>
    <w:rsid w:val="00837F1D"/>
    <w:rsid w:val="00841F77"/>
    <w:rsid w:val="00845032"/>
    <w:rsid w:val="008457E7"/>
    <w:rsid w:val="00845F22"/>
    <w:rsid w:val="00845F7A"/>
    <w:rsid w:val="008464B2"/>
    <w:rsid w:val="0084682F"/>
    <w:rsid w:val="008469B2"/>
    <w:rsid w:val="008473AD"/>
    <w:rsid w:val="00850048"/>
    <w:rsid w:val="0085187B"/>
    <w:rsid w:val="00853324"/>
    <w:rsid w:val="008538FB"/>
    <w:rsid w:val="00853997"/>
    <w:rsid w:val="00853A1A"/>
    <w:rsid w:val="008558F1"/>
    <w:rsid w:val="00856244"/>
    <w:rsid w:val="00860B1C"/>
    <w:rsid w:val="00860F19"/>
    <w:rsid w:val="0086318B"/>
    <w:rsid w:val="008636F0"/>
    <w:rsid w:val="00863859"/>
    <w:rsid w:val="0086386D"/>
    <w:rsid w:val="00864220"/>
    <w:rsid w:val="008647FC"/>
    <w:rsid w:val="008649DF"/>
    <w:rsid w:val="00864CC4"/>
    <w:rsid w:val="00864FDA"/>
    <w:rsid w:val="008660AF"/>
    <w:rsid w:val="008666ED"/>
    <w:rsid w:val="00866FCA"/>
    <w:rsid w:val="008707FC"/>
    <w:rsid w:val="00871368"/>
    <w:rsid w:val="0087195B"/>
    <w:rsid w:val="008740B7"/>
    <w:rsid w:val="0087494D"/>
    <w:rsid w:val="00874D50"/>
    <w:rsid w:val="00874D8A"/>
    <w:rsid w:val="008758A4"/>
    <w:rsid w:val="00876299"/>
    <w:rsid w:val="00876D21"/>
    <w:rsid w:val="00880EA3"/>
    <w:rsid w:val="00882373"/>
    <w:rsid w:val="00883235"/>
    <w:rsid w:val="008840D3"/>
    <w:rsid w:val="00885582"/>
    <w:rsid w:val="00885FBB"/>
    <w:rsid w:val="008863C5"/>
    <w:rsid w:val="008878DC"/>
    <w:rsid w:val="0089022B"/>
    <w:rsid w:val="00891AC8"/>
    <w:rsid w:val="00891E51"/>
    <w:rsid w:val="00892168"/>
    <w:rsid w:val="00892938"/>
    <w:rsid w:val="0089306D"/>
    <w:rsid w:val="008939C6"/>
    <w:rsid w:val="00894111"/>
    <w:rsid w:val="00894D09"/>
    <w:rsid w:val="00895277"/>
    <w:rsid w:val="00895294"/>
    <w:rsid w:val="00895A48"/>
    <w:rsid w:val="008979FF"/>
    <w:rsid w:val="00897D84"/>
    <w:rsid w:val="008A1657"/>
    <w:rsid w:val="008A27D0"/>
    <w:rsid w:val="008A28A7"/>
    <w:rsid w:val="008A2DBE"/>
    <w:rsid w:val="008A4A0F"/>
    <w:rsid w:val="008A4C9D"/>
    <w:rsid w:val="008A621A"/>
    <w:rsid w:val="008A6502"/>
    <w:rsid w:val="008A7221"/>
    <w:rsid w:val="008A7808"/>
    <w:rsid w:val="008A7890"/>
    <w:rsid w:val="008B033E"/>
    <w:rsid w:val="008B1485"/>
    <w:rsid w:val="008B1631"/>
    <w:rsid w:val="008B1AAF"/>
    <w:rsid w:val="008B2297"/>
    <w:rsid w:val="008B3991"/>
    <w:rsid w:val="008B3B42"/>
    <w:rsid w:val="008B4845"/>
    <w:rsid w:val="008B489C"/>
    <w:rsid w:val="008B5849"/>
    <w:rsid w:val="008B6394"/>
    <w:rsid w:val="008B7211"/>
    <w:rsid w:val="008B747A"/>
    <w:rsid w:val="008B76A7"/>
    <w:rsid w:val="008C1359"/>
    <w:rsid w:val="008C174F"/>
    <w:rsid w:val="008C2E82"/>
    <w:rsid w:val="008C351E"/>
    <w:rsid w:val="008C3872"/>
    <w:rsid w:val="008C398C"/>
    <w:rsid w:val="008C3CDA"/>
    <w:rsid w:val="008C4C39"/>
    <w:rsid w:val="008C7352"/>
    <w:rsid w:val="008C7DB7"/>
    <w:rsid w:val="008D0D18"/>
    <w:rsid w:val="008D13E2"/>
    <w:rsid w:val="008D1DF3"/>
    <w:rsid w:val="008D3A78"/>
    <w:rsid w:val="008D3BCC"/>
    <w:rsid w:val="008D48C9"/>
    <w:rsid w:val="008D4EE1"/>
    <w:rsid w:val="008D4F5E"/>
    <w:rsid w:val="008D5FF8"/>
    <w:rsid w:val="008D636F"/>
    <w:rsid w:val="008D6E99"/>
    <w:rsid w:val="008D6FA2"/>
    <w:rsid w:val="008D7436"/>
    <w:rsid w:val="008D7ACC"/>
    <w:rsid w:val="008D7D11"/>
    <w:rsid w:val="008E06B5"/>
    <w:rsid w:val="008E0735"/>
    <w:rsid w:val="008E1DA2"/>
    <w:rsid w:val="008E1ECB"/>
    <w:rsid w:val="008E217A"/>
    <w:rsid w:val="008E2794"/>
    <w:rsid w:val="008E2890"/>
    <w:rsid w:val="008E28BB"/>
    <w:rsid w:val="008E2A33"/>
    <w:rsid w:val="008E365F"/>
    <w:rsid w:val="008E3759"/>
    <w:rsid w:val="008E4005"/>
    <w:rsid w:val="008E56F4"/>
    <w:rsid w:val="008E570D"/>
    <w:rsid w:val="008E767F"/>
    <w:rsid w:val="008E7DED"/>
    <w:rsid w:val="008F059A"/>
    <w:rsid w:val="008F0899"/>
    <w:rsid w:val="008F1548"/>
    <w:rsid w:val="008F1E9B"/>
    <w:rsid w:val="008F50B1"/>
    <w:rsid w:val="0090058C"/>
    <w:rsid w:val="00900844"/>
    <w:rsid w:val="00900FED"/>
    <w:rsid w:val="00903D38"/>
    <w:rsid w:val="00904D6C"/>
    <w:rsid w:val="00906F83"/>
    <w:rsid w:val="009071FE"/>
    <w:rsid w:val="00907E58"/>
    <w:rsid w:val="00910AA3"/>
    <w:rsid w:val="00910BD7"/>
    <w:rsid w:val="0091216E"/>
    <w:rsid w:val="00912356"/>
    <w:rsid w:val="00913807"/>
    <w:rsid w:val="00913B5A"/>
    <w:rsid w:val="00914699"/>
    <w:rsid w:val="009149E5"/>
    <w:rsid w:val="00914E7A"/>
    <w:rsid w:val="009151A1"/>
    <w:rsid w:val="00916422"/>
    <w:rsid w:val="0091651B"/>
    <w:rsid w:val="00916AC8"/>
    <w:rsid w:val="00920376"/>
    <w:rsid w:val="0092065A"/>
    <w:rsid w:val="00920862"/>
    <w:rsid w:val="00920B2E"/>
    <w:rsid w:val="00920DD3"/>
    <w:rsid w:val="00920FE4"/>
    <w:rsid w:val="0092123F"/>
    <w:rsid w:val="00921727"/>
    <w:rsid w:val="009232D0"/>
    <w:rsid w:val="00923600"/>
    <w:rsid w:val="0092388F"/>
    <w:rsid w:val="00923E42"/>
    <w:rsid w:val="0092440A"/>
    <w:rsid w:val="009255F9"/>
    <w:rsid w:val="00926080"/>
    <w:rsid w:val="0092645F"/>
    <w:rsid w:val="00926666"/>
    <w:rsid w:val="00926868"/>
    <w:rsid w:val="00926D4A"/>
    <w:rsid w:val="00927FCA"/>
    <w:rsid w:val="00930B2C"/>
    <w:rsid w:val="009314C6"/>
    <w:rsid w:val="00931C29"/>
    <w:rsid w:val="00933814"/>
    <w:rsid w:val="00933ED2"/>
    <w:rsid w:val="00936043"/>
    <w:rsid w:val="009360E1"/>
    <w:rsid w:val="00936F13"/>
    <w:rsid w:val="00937E50"/>
    <w:rsid w:val="00940205"/>
    <w:rsid w:val="00940A83"/>
    <w:rsid w:val="00940AB6"/>
    <w:rsid w:val="00941495"/>
    <w:rsid w:val="00941680"/>
    <w:rsid w:val="00941B07"/>
    <w:rsid w:val="00941EE9"/>
    <w:rsid w:val="00942212"/>
    <w:rsid w:val="0094227B"/>
    <w:rsid w:val="00942FC1"/>
    <w:rsid w:val="0094322A"/>
    <w:rsid w:val="00943DEF"/>
    <w:rsid w:val="00943F14"/>
    <w:rsid w:val="0094402F"/>
    <w:rsid w:val="009445B9"/>
    <w:rsid w:val="00944FD0"/>
    <w:rsid w:val="00946169"/>
    <w:rsid w:val="009463C6"/>
    <w:rsid w:val="00946458"/>
    <w:rsid w:val="00946B26"/>
    <w:rsid w:val="009503CE"/>
    <w:rsid w:val="009503EE"/>
    <w:rsid w:val="009510CB"/>
    <w:rsid w:val="00952D2A"/>
    <w:rsid w:val="00953224"/>
    <w:rsid w:val="00953B00"/>
    <w:rsid w:val="009552A9"/>
    <w:rsid w:val="009560D3"/>
    <w:rsid w:val="0095659A"/>
    <w:rsid w:val="009568A4"/>
    <w:rsid w:val="00961195"/>
    <w:rsid w:val="00961280"/>
    <w:rsid w:val="00961877"/>
    <w:rsid w:val="009620FD"/>
    <w:rsid w:val="00962363"/>
    <w:rsid w:val="00962F47"/>
    <w:rsid w:val="00963B2E"/>
    <w:rsid w:val="00964562"/>
    <w:rsid w:val="00964585"/>
    <w:rsid w:val="009648E8"/>
    <w:rsid w:val="00964FCE"/>
    <w:rsid w:val="00965A8C"/>
    <w:rsid w:val="00966DCA"/>
    <w:rsid w:val="0096739C"/>
    <w:rsid w:val="009708B3"/>
    <w:rsid w:val="00971662"/>
    <w:rsid w:val="00974E75"/>
    <w:rsid w:val="00976AD4"/>
    <w:rsid w:val="00977D0B"/>
    <w:rsid w:val="00982090"/>
    <w:rsid w:val="009821A2"/>
    <w:rsid w:val="00982411"/>
    <w:rsid w:val="00982DB5"/>
    <w:rsid w:val="00982F7B"/>
    <w:rsid w:val="0098465A"/>
    <w:rsid w:val="00984D2C"/>
    <w:rsid w:val="00984D38"/>
    <w:rsid w:val="00984E7E"/>
    <w:rsid w:val="009858D8"/>
    <w:rsid w:val="00985F9E"/>
    <w:rsid w:val="00986211"/>
    <w:rsid w:val="00986D15"/>
    <w:rsid w:val="00987496"/>
    <w:rsid w:val="00987E75"/>
    <w:rsid w:val="0099034F"/>
    <w:rsid w:val="009918E0"/>
    <w:rsid w:val="00991A61"/>
    <w:rsid w:val="00992459"/>
    <w:rsid w:val="0099379F"/>
    <w:rsid w:val="00994CF2"/>
    <w:rsid w:val="009953AF"/>
    <w:rsid w:val="009956CB"/>
    <w:rsid w:val="00995B71"/>
    <w:rsid w:val="00996192"/>
    <w:rsid w:val="009965D8"/>
    <w:rsid w:val="00996955"/>
    <w:rsid w:val="009971DD"/>
    <w:rsid w:val="00997220"/>
    <w:rsid w:val="009975FD"/>
    <w:rsid w:val="00997701"/>
    <w:rsid w:val="009977F3"/>
    <w:rsid w:val="0099790A"/>
    <w:rsid w:val="00997B71"/>
    <w:rsid w:val="009A0744"/>
    <w:rsid w:val="009A07B7"/>
    <w:rsid w:val="009A1028"/>
    <w:rsid w:val="009A1844"/>
    <w:rsid w:val="009A22AA"/>
    <w:rsid w:val="009A29F7"/>
    <w:rsid w:val="009A2EAD"/>
    <w:rsid w:val="009A43CC"/>
    <w:rsid w:val="009A4740"/>
    <w:rsid w:val="009A4A89"/>
    <w:rsid w:val="009A635C"/>
    <w:rsid w:val="009A64D8"/>
    <w:rsid w:val="009A6EA0"/>
    <w:rsid w:val="009A7478"/>
    <w:rsid w:val="009B03EC"/>
    <w:rsid w:val="009B0856"/>
    <w:rsid w:val="009B1035"/>
    <w:rsid w:val="009B1A6B"/>
    <w:rsid w:val="009B1F64"/>
    <w:rsid w:val="009B359D"/>
    <w:rsid w:val="009B4F96"/>
    <w:rsid w:val="009B765D"/>
    <w:rsid w:val="009C0972"/>
    <w:rsid w:val="009C111E"/>
    <w:rsid w:val="009C129D"/>
    <w:rsid w:val="009C180A"/>
    <w:rsid w:val="009C1D63"/>
    <w:rsid w:val="009C2703"/>
    <w:rsid w:val="009C41DE"/>
    <w:rsid w:val="009C43A7"/>
    <w:rsid w:val="009C4A46"/>
    <w:rsid w:val="009C5540"/>
    <w:rsid w:val="009C5D4D"/>
    <w:rsid w:val="009C6A92"/>
    <w:rsid w:val="009C6E8D"/>
    <w:rsid w:val="009C73DE"/>
    <w:rsid w:val="009C7833"/>
    <w:rsid w:val="009D04EB"/>
    <w:rsid w:val="009D0612"/>
    <w:rsid w:val="009D0EAE"/>
    <w:rsid w:val="009D10A1"/>
    <w:rsid w:val="009D13C7"/>
    <w:rsid w:val="009D2DBB"/>
    <w:rsid w:val="009D42C3"/>
    <w:rsid w:val="009D4B01"/>
    <w:rsid w:val="009D51DD"/>
    <w:rsid w:val="009D5B0A"/>
    <w:rsid w:val="009D5DCB"/>
    <w:rsid w:val="009D601B"/>
    <w:rsid w:val="009D6B7A"/>
    <w:rsid w:val="009D6D18"/>
    <w:rsid w:val="009D7585"/>
    <w:rsid w:val="009E0529"/>
    <w:rsid w:val="009E085D"/>
    <w:rsid w:val="009E0E28"/>
    <w:rsid w:val="009E10D5"/>
    <w:rsid w:val="009E1685"/>
    <w:rsid w:val="009E2060"/>
    <w:rsid w:val="009E2C18"/>
    <w:rsid w:val="009E2E7D"/>
    <w:rsid w:val="009E3EF3"/>
    <w:rsid w:val="009E4287"/>
    <w:rsid w:val="009E4DEE"/>
    <w:rsid w:val="009E4E41"/>
    <w:rsid w:val="009E4FB3"/>
    <w:rsid w:val="009E6F7C"/>
    <w:rsid w:val="009E74B5"/>
    <w:rsid w:val="009E780C"/>
    <w:rsid w:val="009F1F7F"/>
    <w:rsid w:val="009F2896"/>
    <w:rsid w:val="009F2993"/>
    <w:rsid w:val="009F3CA2"/>
    <w:rsid w:val="009F5923"/>
    <w:rsid w:val="009F6393"/>
    <w:rsid w:val="009F64BD"/>
    <w:rsid w:val="009F671F"/>
    <w:rsid w:val="009F6721"/>
    <w:rsid w:val="009F7CDA"/>
    <w:rsid w:val="00A002E9"/>
    <w:rsid w:val="00A00309"/>
    <w:rsid w:val="00A0114F"/>
    <w:rsid w:val="00A025D2"/>
    <w:rsid w:val="00A032A0"/>
    <w:rsid w:val="00A04391"/>
    <w:rsid w:val="00A04B75"/>
    <w:rsid w:val="00A056F7"/>
    <w:rsid w:val="00A05A3B"/>
    <w:rsid w:val="00A05B31"/>
    <w:rsid w:val="00A0687E"/>
    <w:rsid w:val="00A06BE1"/>
    <w:rsid w:val="00A06E1C"/>
    <w:rsid w:val="00A07C36"/>
    <w:rsid w:val="00A07C9C"/>
    <w:rsid w:val="00A10463"/>
    <w:rsid w:val="00A1064A"/>
    <w:rsid w:val="00A10931"/>
    <w:rsid w:val="00A10E60"/>
    <w:rsid w:val="00A114A3"/>
    <w:rsid w:val="00A11DBC"/>
    <w:rsid w:val="00A12233"/>
    <w:rsid w:val="00A12800"/>
    <w:rsid w:val="00A12B51"/>
    <w:rsid w:val="00A139E2"/>
    <w:rsid w:val="00A1410A"/>
    <w:rsid w:val="00A14302"/>
    <w:rsid w:val="00A147CC"/>
    <w:rsid w:val="00A14BAC"/>
    <w:rsid w:val="00A14DE6"/>
    <w:rsid w:val="00A1512F"/>
    <w:rsid w:val="00A15BA1"/>
    <w:rsid w:val="00A1668A"/>
    <w:rsid w:val="00A20293"/>
    <w:rsid w:val="00A210D3"/>
    <w:rsid w:val="00A22353"/>
    <w:rsid w:val="00A22778"/>
    <w:rsid w:val="00A22A33"/>
    <w:rsid w:val="00A23421"/>
    <w:rsid w:val="00A24395"/>
    <w:rsid w:val="00A24E2E"/>
    <w:rsid w:val="00A25974"/>
    <w:rsid w:val="00A259F2"/>
    <w:rsid w:val="00A262AF"/>
    <w:rsid w:val="00A26BEE"/>
    <w:rsid w:val="00A27C43"/>
    <w:rsid w:val="00A30D7A"/>
    <w:rsid w:val="00A31B4E"/>
    <w:rsid w:val="00A33135"/>
    <w:rsid w:val="00A333FC"/>
    <w:rsid w:val="00A33B89"/>
    <w:rsid w:val="00A3455D"/>
    <w:rsid w:val="00A34D5C"/>
    <w:rsid w:val="00A35785"/>
    <w:rsid w:val="00A365D3"/>
    <w:rsid w:val="00A37E78"/>
    <w:rsid w:val="00A409F6"/>
    <w:rsid w:val="00A417A0"/>
    <w:rsid w:val="00A41808"/>
    <w:rsid w:val="00A41E41"/>
    <w:rsid w:val="00A42062"/>
    <w:rsid w:val="00A42734"/>
    <w:rsid w:val="00A428D8"/>
    <w:rsid w:val="00A42FE3"/>
    <w:rsid w:val="00A433F4"/>
    <w:rsid w:val="00A43A52"/>
    <w:rsid w:val="00A43DD0"/>
    <w:rsid w:val="00A44006"/>
    <w:rsid w:val="00A44079"/>
    <w:rsid w:val="00A44B3B"/>
    <w:rsid w:val="00A44ECF"/>
    <w:rsid w:val="00A4683B"/>
    <w:rsid w:val="00A505B8"/>
    <w:rsid w:val="00A53A98"/>
    <w:rsid w:val="00A53AA4"/>
    <w:rsid w:val="00A53B5F"/>
    <w:rsid w:val="00A5449A"/>
    <w:rsid w:val="00A545B9"/>
    <w:rsid w:val="00A54EB1"/>
    <w:rsid w:val="00A55CC4"/>
    <w:rsid w:val="00A5627E"/>
    <w:rsid w:val="00A56895"/>
    <w:rsid w:val="00A60E07"/>
    <w:rsid w:val="00A61F03"/>
    <w:rsid w:val="00A6217B"/>
    <w:rsid w:val="00A6238D"/>
    <w:rsid w:val="00A6245D"/>
    <w:rsid w:val="00A640AB"/>
    <w:rsid w:val="00A64701"/>
    <w:rsid w:val="00A64E4F"/>
    <w:rsid w:val="00A6560B"/>
    <w:rsid w:val="00A65C73"/>
    <w:rsid w:val="00A65DD9"/>
    <w:rsid w:val="00A66594"/>
    <w:rsid w:val="00A66656"/>
    <w:rsid w:val="00A66E28"/>
    <w:rsid w:val="00A6718B"/>
    <w:rsid w:val="00A707DE"/>
    <w:rsid w:val="00A70E43"/>
    <w:rsid w:val="00A7225F"/>
    <w:rsid w:val="00A72A9C"/>
    <w:rsid w:val="00A7345E"/>
    <w:rsid w:val="00A74AD7"/>
    <w:rsid w:val="00A74C0E"/>
    <w:rsid w:val="00A75126"/>
    <w:rsid w:val="00A75E1B"/>
    <w:rsid w:val="00A763D3"/>
    <w:rsid w:val="00A812D2"/>
    <w:rsid w:val="00A8150D"/>
    <w:rsid w:val="00A81A9C"/>
    <w:rsid w:val="00A8315D"/>
    <w:rsid w:val="00A8386D"/>
    <w:rsid w:val="00A857B1"/>
    <w:rsid w:val="00A85E72"/>
    <w:rsid w:val="00A860A1"/>
    <w:rsid w:val="00A8697C"/>
    <w:rsid w:val="00A86D3F"/>
    <w:rsid w:val="00A86DE7"/>
    <w:rsid w:val="00A87C06"/>
    <w:rsid w:val="00A87EFA"/>
    <w:rsid w:val="00A92971"/>
    <w:rsid w:val="00A93450"/>
    <w:rsid w:val="00A94401"/>
    <w:rsid w:val="00A94541"/>
    <w:rsid w:val="00A95E3A"/>
    <w:rsid w:val="00A968D9"/>
    <w:rsid w:val="00A96C93"/>
    <w:rsid w:val="00A96CE1"/>
    <w:rsid w:val="00AA0C5B"/>
    <w:rsid w:val="00AA0E0F"/>
    <w:rsid w:val="00AA10D3"/>
    <w:rsid w:val="00AA2995"/>
    <w:rsid w:val="00AA2C7A"/>
    <w:rsid w:val="00AA3722"/>
    <w:rsid w:val="00AA37C0"/>
    <w:rsid w:val="00AA38A1"/>
    <w:rsid w:val="00AA3EEC"/>
    <w:rsid w:val="00AA42E0"/>
    <w:rsid w:val="00AA484F"/>
    <w:rsid w:val="00AA4CC4"/>
    <w:rsid w:val="00AA63DB"/>
    <w:rsid w:val="00AA6A98"/>
    <w:rsid w:val="00AA784A"/>
    <w:rsid w:val="00AB0569"/>
    <w:rsid w:val="00AB410B"/>
    <w:rsid w:val="00AB4684"/>
    <w:rsid w:val="00AB50A6"/>
    <w:rsid w:val="00AB5797"/>
    <w:rsid w:val="00AB6CEE"/>
    <w:rsid w:val="00AB77AC"/>
    <w:rsid w:val="00AB780A"/>
    <w:rsid w:val="00AC010D"/>
    <w:rsid w:val="00AC13A6"/>
    <w:rsid w:val="00AC240A"/>
    <w:rsid w:val="00AC253B"/>
    <w:rsid w:val="00AC2798"/>
    <w:rsid w:val="00AC3522"/>
    <w:rsid w:val="00AC4807"/>
    <w:rsid w:val="00AC54EE"/>
    <w:rsid w:val="00AC5E3A"/>
    <w:rsid w:val="00AC6660"/>
    <w:rsid w:val="00AC6808"/>
    <w:rsid w:val="00AC768A"/>
    <w:rsid w:val="00AC76A2"/>
    <w:rsid w:val="00AD0709"/>
    <w:rsid w:val="00AD0DBE"/>
    <w:rsid w:val="00AD3C48"/>
    <w:rsid w:val="00AD4BF1"/>
    <w:rsid w:val="00AD50F3"/>
    <w:rsid w:val="00AD5948"/>
    <w:rsid w:val="00AD73F0"/>
    <w:rsid w:val="00AD7BE7"/>
    <w:rsid w:val="00AD7F90"/>
    <w:rsid w:val="00AE080D"/>
    <w:rsid w:val="00AE0DEB"/>
    <w:rsid w:val="00AE1633"/>
    <w:rsid w:val="00AE1655"/>
    <w:rsid w:val="00AE2086"/>
    <w:rsid w:val="00AE2682"/>
    <w:rsid w:val="00AE3840"/>
    <w:rsid w:val="00AE3986"/>
    <w:rsid w:val="00AE422A"/>
    <w:rsid w:val="00AE44D6"/>
    <w:rsid w:val="00AE4A23"/>
    <w:rsid w:val="00AE4C9D"/>
    <w:rsid w:val="00AE4E66"/>
    <w:rsid w:val="00AE5086"/>
    <w:rsid w:val="00AE58D0"/>
    <w:rsid w:val="00AE5FD3"/>
    <w:rsid w:val="00AE729C"/>
    <w:rsid w:val="00AE76BE"/>
    <w:rsid w:val="00AE770E"/>
    <w:rsid w:val="00AE781E"/>
    <w:rsid w:val="00AE78E4"/>
    <w:rsid w:val="00AF0634"/>
    <w:rsid w:val="00AF06C0"/>
    <w:rsid w:val="00AF0803"/>
    <w:rsid w:val="00AF1977"/>
    <w:rsid w:val="00AF2020"/>
    <w:rsid w:val="00AF25A5"/>
    <w:rsid w:val="00AF2BFB"/>
    <w:rsid w:val="00AF3729"/>
    <w:rsid w:val="00AF3C15"/>
    <w:rsid w:val="00AF3CEB"/>
    <w:rsid w:val="00AF4518"/>
    <w:rsid w:val="00AF5792"/>
    <w:rsid w:val="00AF58D6"/>
    <w:rsid w:val="00AF5C2F"/>
    <w:rsid w:val="00AF5EF6"/>
    <w:rsid w:val="00AF5F3B"/>
    <w:rsid w:val="00AF67E2"/>
    <w:rsid w:val="00AF6951"/>
    <w:rsid w:val="00B005F3"/>
    <w:rsid w:val="00B00F07"/>
    <w:rsid w:val="00B00FE0"/>
    <w:rsid w:val="00B017BB"/>
    <w:rsid w:val="00B01BB3"/>
    <w:rsid w:val="00B02AF6"/>
    <w:rsid w:val="00B03E78"/>
    <w:rsid w:val="00B056EC"/>
    <w:rsid w:val="00B05720"/>
    <w:rsid w:val="00B05B29"/>
    <w:rsid w:val="00B05B82"/>
    <w:rsid w:val="00B06F0C"/>
    <w:rsid w:val="00B072A5"/>
    <w:rsid w:val="00B073B8"/>
    <w:rsid w:val="00B10A32"/>
    <w:rsid w:val="00B10E37"/>
    <w:rsid w:val="00B11A24"/>
    <w:rsid w:val="00B1367B"/>
    <w:rsid w:val="00B13927"/>
    <w:rsid w:val="00B1456B"/>
    <w:rsid w:val="00B17A8B"/>
    <w:rsid w:val="00B20831"/>
    <w:rsid w:val="00B20E44"/>
    <w:rsid w:val="00B21401"/>
    <w:rsid w:val="00B2168E"/>
    <w:rsid w:val="00B21A0D"/>
    <w:rsid w:val="00B21CB0"/>
    <w:rsid w:val="00B234FF"/>
    <w:rsid w:val="00B248EE"/>
    <w:rsid w:val="00B256DB"/>
    <w:rsid w:val="00B259B3"/>
    <w:rsid w:val="00B26CC6"/>
    <w:rsid w:val="00B30A20"/>
    <w:rsid w:val="00B30B0A"/>
    <w:rsid w:val="00B311EE"/>
    <w:rsid w:val="00B314DA"/>
    <w:rsid w:val="00B319AF"/>
    <w:rsid w:val="00B32794"/>
    <w:rsid w:val="00B32D7B"/>
    <w:rsid w:val="00B32FD9"/>
    <w:rsid w:val="00B33372"/>
    <w:rsid w:val="00B33C50"/>
    <w:rsid w:val="00B34113"/>
    <w:rsid w:val="00B34DDD"/>
    <w:rsid w:val="00B35216"/>
    <w:rsid w:val="00B36626"/>
    <w:rsid w:val="00B36670"/>
    <w:rsid w:val="00B36C92"/>
    <w:rsid w:val="00B40B20"/>
    <w:rsid w:val="00B41EAB"/>
    <w:rsid w:val="00B425D3"/>
    <w:rsid w:val="00B42B11"/>
    <w:rsid w:val="00B43DDE"/>
    <w:rsid w:val="00B441AB"/>
    <w:rsid w:val="00B45360"/>
    <w:rsid w:val="00B455F9"/>
    <w:rsid w:val="00B45A91"/>
    <w:rsid w:val="00B46044"/>
    <w:rsid w:val="00B46062"/>
    <w:rsid w:val="00B47293"/>
    <w:rsid w:val="00B47ED2"/>
    <w:rsid w:val="00B50252"/>
    <w:rsid w:val="00B50D83"/>
    <w:rsid w:val="00B51020"/>
    <w:rsid w:val="00B511AA"/>
    <w:rsid w:val="00B51280"/>
    <w:rsid w:val="00B519E4"/>
    <w:rsid w:val="00B51DA7"/>
    <w:rsid w:val="00B525B7"/>
    <w:rsid w:val="00B5328C"/>
    <w:rsid w:val="00B547AB"/>
    <w:rsid w:val="00B5578F"/>
    <w:rsid w:val="00B55E6A"/>
    <w:rsid w:val="00B55EA6"/>
    <w:rsid w:val="00B5696E"/>
    <w:rsid w:val="00B56FEF"/>
    <w:rsid w:val="00B57C10"/>
    <w:rsid w:val="00B60012"/>
    <w:rsid w:val="00B60298"/>
    <w:rsid w:val="00B61716"/>
    <w:rsid w:val="00B62AB0"/>
    <w:rsid w:val="00B62C00"/>
    <w:rsid w:val="00B62EE2"/>
    <w:rsid w:val="00B632D0"/>
    <w:rsid w:val="00B64BB7"/>
    <w:rsid w:val="00B714FF"/>
    <w:rsid w:val="00B71802"/>
    <w:rsid w:val="00B72E41"/>
    <w:rsid w:val="00B7308E"/>
    <w:rsid w:val="00B73806"/>
    <w:rsid w:val="00B73A85"/>
    <w:rsid w:val="00B742EC"/>
    <w:rsid w:val="00B74931"/>
    <w:rsid w:val="00B75E25"/>
    <w:rsid w:val="00B76EB2"/>
    <w:rsid w:val="00B7753E"/>
    <w:rsid w:val="00B77AA2"/>
    <w:rsid w:val="00B806AB"/>
    <w:rsid w:val="00B809F9"/>
    <w:rsid w:val="00B83F9B"/>
    <w:rsid w:val="00B85E14"/>
    <w:rsid w:val="00B8702C"/>
    <w:rsid w:val="00B901DB"/>
    <w:rsid w:val="00B902C3"/>
    <w:rsid w:val="00B91B97"/>
    <w:rsid w:val="00B9216B"/>
    <w:rsid w:val="00B931DA"/>
    <w:rsid w:val="00B94D23"/>
    <w:rsid w:val="00B964BE"/>
    <w:rsid w:val="00B9741F"/>
    <w:rsid w:val="00BA0F73"/>
    <w:rsid w:val="00BA12B4"/>
    <w:rsid w:val="00BA1663"/>
    <w:rsid w:val="00BA2F78"/>
    <w:rsid w:val="00BA3C27"/>
    <w:rsid w:val="00BA3E94"/>
    <w:rsid w:val="00BA42E9"/>
    <w:rsid w:val="00BA447A"/>
    <w:rsid w:val="00BA45C8"/>
    <w:rsid w:val="00BA468E"/>
    <w:rsid w:val="00BA51F5"/>
    <w:rsid w:val="00BA53F9"/>
    <w:rsid w:val="00BA6AFE"/>
    <w:rsid w:val="00BA6F3C"/>
    <w:rsid w:val="00BA7E98"/>
    <w:rsid w:val="00BB0AFC"/>
    <w:rsid w:val="00BB0D0E"/>
    <w:rsid w:val="00BB0E72"/>
    <w:rsid w:val="00BB188B"/>
    <w:rsid w:val="00BB1CB0"/>
    <w:rsid w:val="00BB393B"/>
    <w:rsid w:val="00BB5401"/>
    <w:rsid w:val="00BB68B7"/>
    <w:rsid w:val="00BB6C9A"/>
    <w:rsid w:val="00BB7BBD"/>
    <w:rsid w:val="00BC0B6E"/>
    <w:rsid w:val="00BC1C6F"/>
    <w:rsid w:val="00BC2CAE"/>
    <w:rsid w:val="00BC3BA4"/>
    <w:rsid w:val="00BC4029"/>
    <w:rsid w:val="00BC41E9"/>
    <w:rsid w:val="00BC45F3"/>
    <w:rsid w:val="00BC5327"/>
    <w:rsid w:val="00BC6041"/>
    <w:rsid w:val="00BC61FE"/>
    <w:rsid w:val="00BC7ED6"/>
    <w:rsid w:val="00BD0061"/>
    <w:rsid w:val="00BD08E3"/>
    <w:rsid w:val="00BD2110"/>
    <w:rsid w:val="00BD23CB"/>
    <w:rsid w:val="00BD2776"/>
    <w:rsid w:val="00BD28AA"/>
    <w:rsid w:val="00BD40EE"/>
    <w:rsid w:val="00BD4502"/>
    <w:rsid w:val="00BD4514"/>
    <w:rsid w:val="00BD484E"/>
    <w:rsid w:val="00BD5083"/>
    <w:rsid w:val="00BD67F5"/>
    <w:rsid w:val="00BD756E"/>
    <w:rsid w:val="00BD7DE0"/>
    <w:rsid w:val="00BE078A"/>
    <w:rsid w:val="00BE13E9"/>
    <w:rsid w:val="00BE22F0"/>
    <w:rsid w:val="00BE32C2"/>
    <w:rsid w:val="00BE3E2C"/>
    <w:rsid w:val="00BE40C0"/>
    <w:rsid w:val="00BE40EE"/>
    <w:rsid w:val="00BE4155"/>
    <w:rsid w:val="00BE552D"/>
    <w:rsid w:val="00BE6296"/>
    <w:rsid w:val="00BE64A9"/>
    <w:rsid w:val="00BE6748"/>
    <w:rsid w:val="00BE6CC1"/>
    <w:rsid w:val="00BE7F54"/>
    <w:rsid w:val="00BF0246"/>
    <w:rsid w:val="00BF0256"/>
    <w:rsid w:val="00BF04D7"/>
    <w:rsid w:val="00BF0915"/>
    <w:rsid w:val="00BF2B87"/>
    <w:rsid w:val="00BF2F9A"/>
    <w:rsid w:val="00BF44FB"/>
    <w:rsid w:val="00BF4F4E"/>
    <w:rsid w:val="00BF5167"/>
    <w:rsid w:val="00BF6A46"/>
    <w:rsid w:val="00BF6D9A"/>
    <w:rsid w:val="00BF7224"/>
    <w:rsid w:val="00BF7A6E"/>
    <w:rsid w:val="00C00575"/>
    <w:rsid w:val="00C0142A"/>
    <w:rsid w:val="00C01CD6"/>
    <w:rsid w:val="00C02823"/>
    <w:rsid w:val="00C0387B"/>
    <w:rsid w:val="00C0482C"/>
    <w:rsid w:val="00C04E75"/>
    <w:rsid w:val="00C05223"/>
    <w:rsid w:val="00C06054"/>
    <w:rsid w:val="00C07371"/>
    <w:rsid w:val="00C07B4B"/>
    <w:rsid w:val="00C1057D"/>
    <w:rsid w:val="00C10A0C"/>
    <w:rsid w:val="00C10C5E"/>
    <w:rsid w:val="00C1119E"/>
    <w:rsid w:val="00C11F76"/>
    <w:rsid w:val="00C1483A"/>
    <w:rsid w:val="00C15AFD"/>
    <w:rsid w:val="00C15C1D"/>
    <w:rsid w:val="00C15ECE"/>
    <w:rsid w:val="00C16B58"/>
    <w:rsid w:val="00C17A8C"/>
    <w:rsid w:val="00C17E21"/>
    <w:rsid w:val="00C2066E"/>
    <w:rsid w:val="00C210F2"/>
    <w:rsid w:val="00C259F7"/>
    <w:rsid w:val="00C267E7"/>
    <w:rsid w:val="00C27B93"/>
    <w:rsid w:val="00C27CE9"/>
    <w:rsid w:val="00C307FF"/>
    <w:rsid w:val="00C30E5D"/>
    <w:rsid w:val="00C30EB2"/>
    <w:rsid w:val="00C31AED"/>
    <w:rsid w:val="00C31E3A"/>
    <w:rsid w:val="00C31EED"/>
    <w:rsid w:val="00C32077"/>
    <w:rsid w:val="00C320E6"/>
    <w:rsid w:val="00C3264E"/>
    <w:rsid w:val="00C3310E"/>
    <w:rsid w:val="00C337FC"/>
    <w:rsid w:val="00C34949"/>
    <w:rsid w:val="00C34C81"/>
    <w:rsid w:val="00C35CF9"/>
    <w:rsid w:val="00C36539"/>
    <w:rsid w:val="00C37254"/>
    <w:rsid w:val="00C373CB"/>
    <w:rsid w:val="00C3761B"/>
    <w:rsid w:val="00C40F8B"/>
    <w:rsid w:val="00C4190D"/>
    <w:rsid w:val="00C427A2"/>
    <w:rsid w:val="00C447CE"/>
    <w:rsid w:val="00C44F1A"/>
    <w:rsid w:val="00C45274"/>
    <w:rsid w:val="00C46AD7"/>
    <w:rsid w:val="00C46AD9"/>
    <w:rsid w:val="00C5085F"/>
    <w:rsid w:val="00C51655"/>
    <w:rsid w:val="00C51C30"/>
    <w:rsid w:val="00C53A6E"/>
    <w:rsid w:val="00C53F28"/>
    <w:rsid w:val="00C5430E"/>
    <w:rsid w:val="00C5501A"/>
    <w:rsid w:val="00C56175"/>
    <w:rsid w:val="00C56441"/>
    <w:rsid w:val="00C5785B"/>
    <w:rsid w:val="00C607C1"/>
    <w:rsid w:val="00C60B7B"/>
    <w:rsid w:val="00C6106B"/>
    <w:rsid w:val="00C61409"/>
    <w:rsid w:val="00C624EA"/>
    <w:rsid w:val="00C630E5"/>
    <w:rsid w:val="00C64EBA"/>
    <w:rsid w:val="00C6597B"/>
    <w:rsid w:val="00C66231"/>
    <w:rsid w:val="00C6636E"/>
    <w:rsid w:val="00C6657F"/>
    <w:rsid w:val="00C6673A"/>
    <w:rsid w:val="00C6676E"/>
    <w:rsid w:val="00C6747A"/>
    <w:rsid w:val="00C677E5"/>
    <w:rsid w:val="00C67BE1"/>
    <w:rsid w:val="00C712B1"/>
    <w:rsid w:val="00C71362"/>
    <w:rsid w:val="00C718BE"/>
    <w:rsid w:val="00C724A9"/>
    <w:rsid w:val="00C733DC"/>
    <w:rsid w:val="00C735B2"/>
    <w:rsid w:val="00C73E19"/>
    <w:rsid w:val="00C73FFC"/>
    <w:rsid w:val="00C74E83"/>
    <w:rsid w:val="00C75B8F"/>
    <w:rsid w:val="00C75D9F"/>
    <w:rsid w:val="00C7604F"/>
    <w:rsid w:val="00C77163"/>
    <w:rsid w:val="00C775D0"/>
    <w:rsid w:val="00C77780"/>
    <w:rsid w:val="00C77B8F"/>
    <w:rsid w:val="00C807D9"/>
    <w:rsid w:val="00C80A4C"/>
    <w:rsid w:val="00C80E21"/>
    <w:rsid w:val="00C81354"/>
    <w:rsid w:val="00C816D5"/>
    <w:rsid w:val="00C8217C"/>
    <w:rsid w:val="00C82596"/>
    <w:rsid w:val="00C82F60"/>
    <w:rsid w:val="00C8338E"/>
    <w:rsid w:val="00C83A2F"/>
    <w:rsid w:val="00C8516C"/>
    <w:rsid w:val="00C86164"/>
    <w:rsid w:val="00C863CE"/>
    <w:rsid w:val="00C86ABE"/>
    <w:rsid w:val="00C87B8A"/>
    <w:rsid w:val="00C91A11"/>
    <w:rsid w:val="00C921D8"/>
    <w:rsid w:val="00C92B44"/>
    <w:rsid w:val="00C933E3"/>
    <w:rsid w:val="00C9406C"/>
    <w:rsid w:val="00C94615"/>
    <w:rsid w:val="00C947EE"/>
    <w:rsid w:val="00C9519A"/>
    <w:rsid w:val="00C96122"/>
    <w:rsid w:val="00C96A62"/>
    <w:rsid w:val="00C971A9"/>
    <w:rsid w:val="00C97232"/>
    <w:rsid w:val="00C9774D"/>
    <w:rsid w:val="00C977EB"/>
    <w:rsid w:val="00C97941"/>
    <w:rsid w:val="00CA01DD"/>
    <w:rsid w:val="00CA10C1"/>
    <w:rsid w:val="00CA17E8"/>
    <w:rsid w:val="00CA17EE"/>
    <w:rsid w:val="00CA1943"/>
    <w:rsid w:val="00CA2DFD"/>
    <w:rsid w:val="00CA4751"/>
    <w:rsid w:val="00CA6E8A"/>
    <w:rsid w:val="00CA7049"/>
    <w:rsid w:val="00CA7E70"/>
    <w:rsid w:val="00CB01B9"/>
    <w:rsid w:val="00CB0B85"/>
    <w:rsid w:val="00CB1329"/>
    <w:rsid w:val="00CB20B7"/>
    <w:rsid w:val="00CB2244"/>
    <w:rsid w:val="00CB2F77"/>
    <w:rsid w:val="00CB4A95"/>
    <w:rsid w:val="00CB52A5"/>
    <w:rsid w:val="00CB53D0"/>
    <w:rsid w:val="00CB5895"/>
    <w:rsid w:val="00CB5A24"/>
    <w:rsid w:val="00CB7216"/>
    <w:rsid w:val="00CB75B3"/>
    <w:rsid w:val="00CC1056"/>
    <w:rsid w:val="00CC1144"/>
    <w:rsid w:val="00CC17B1"/>
    <w:rsid w:val="00CC3B3E"/>
    <w:rsid w:val="00CC4A2F"/>
    <w:rsid w:val="00CC5B2F"/>
    <w:rsid w:val="00CC5DFE"/>
    <w:rsid w:val="00CC6457"/>
    <w:rsid w:val="00CC64E1"/>
    <w:rsid w:val="00CC6C68"/>
    <w:rsid w:val="00CC6EAD"/>
    <w:rsid w:val="00CC7439"/>
    <w:rsid w:val="00CC7BC2"/>
    <w:rsid w:val="00CD0E07"/>
    <w:rsid w:val="00CD0F6C"/>
    <w:rsid w:val="00CD1E6D"/>
    <w:rsid w:val="00CD2029"/>
    <w:rsid w:val="00CD27F4"/>
    <w:rsid w:val="00CD38F0"/>
    <w:rsid w:val="00CD3EEE"/>
    <w:rsid w:val="00CD40E7"/>
    <w:rsid w:val="00CD6382"/>
    <w:rsid w:val="00CD766B"/>
    <w:rsid w:val="00CE05CA"/>
    <w:rsid w:val="00CE24F9"/>
    <w:rsid w:val="00CE3801"/>
    <w:rsid w:val="00CE4459"/>
    <w:rsid w:val="00CE4961"/>
    <w:rsid w:val="00CE55A2"/>
    <w:rsid w:val="00CE5724"/>
    <w:rsid w:val="00CE5F7D"/>
    <w:rsid w:val="00CE6238"/>
    <w:rsid w:val="00CE677C"/>
    <w:rsid w:val="00CE691B"/>
    <w:rsid w:val="00CE6EED"/>
    <w:rsid w:val="00CE76C5"/>
    <w:rsid w:val="00CF0C7E"/>
    <w:rsid w:val="00CF0E23"/>
    <w:rsid w:val="00CF0E46"/>
    <w:rsid w:val="00CF1991"/>
    <w:rsid w:val="00CF1B4B"/>
    <w:rsid w:val="00CF1B97"/>
    <w:rsid w:val="00CF226A"/>
    <w:rsid w:val="00CF2825"/>
    <w:rsid w:val="00CF3483"/>
    <w:rsid w:val="00CF40A6"/>
    <w:rsid w:val="00CF693E"/>
    <w:rsid w:val="00CF78E3"/>
    <w:rsid w:val="00CF7CEC"/>
    <w:rsid w:val="00D005E5"/>
    <w:rsid w:val="00D02FDE"/>
    <w:rsid w:val="00D040EE"/>
    <w:rsid w:val="00D043BF"/>
    <w:rsid w:val="00D04432"/>
    <w:rsid w:val="00D04C5D"/>
    <w:rsid w:val="00D0504F"/>
    <w:rsid w:val="00D051AB"/>
    <w:rsid w:val="00D05316"/>
    <w:rsid w:val="00D07343"/>
    <w:rsid w:val="00D0752C"/>
    <w:rsid w:val="00D0762E"/>
    <w:rsid w:val="00D10996"/>
    <w:rsid w:val="00D1134D"/>
    <w:rsid w:val="00D1346C"/>
    <w:rsid w:val="00D13FDB"/>
    <w:rsid w:val="00D1461F"/>
    <w:rsid w:val="00D149A7"/>
    <w:rsid w:val="00D1506B"/>
    <w:rsid w:val="00D15B5E"/>
    <w:rsid w:val="00D15D93"/>
    <w:rsid w:val="00D162AF"/>
    <w:rsid w:val="00D167AB"/>
    <w:rsid w:val="00D167BF"/>
    <w:rsid w:val="00D16B00"/>
    <w:rsid w:val="00D16D57"/>
    <w:rsid w:val="00D1784B"/>
    <w:rsid w:val="00D20B11"/>
    <w:rsid w:val="00D2139D"/>
    <w:rsid w:val="00D21F72"/>
    <w:rsid w:val="00D2294A"/>
    <w:rsid w:val="00D22A55"/>
    <w:rsid w:val="00D22F4F"/>
    <w:rsid w:val="00D23381"/>
    <w:rsid w:val="00D235CA"/>
    <w:rsid w:val="00D24839"/>
    <w:rsid w:val="00D25C49"/>
    <w:rsid w:val="00D25E12"/>
    <w:rsid w:val="00D260CB"/>
    <w:rsid w:val="00D2678B"/>
    <w:rsid w:val="00D268BB"/>
    <w:rsid w:val="00D26C31"/>
    <w:rsid w:val="00D26EAA"/>
    <w:rsid w:val="00D2744B"/>
    <w:rsid w:val="00D2768C"/>
    <w:rsid w:val="00D27AB4"/>
    <w:rsid w:val="00D27B2E"/>
    <w:rsid w:val="00D27EE3"/>
    <w:rsid w:val="00D30208"/>
    <w:rsid w:val="00D31125"/>
    <w:rsid w:val="00D31BF4"/>
    <w:rsid w:val="00D32693"/>
    <w:rsid w:val="00D32BCD"/>
    <w:rsid w:val="00D3323B"/>
    <w:rsid w:val="00D33976"/>
    <w:rsid w:val="00D33C80"/>
    <w:rsid w:val="00D3441D"/>
    <w:rsid w:val="00D34D32"/>
    <w:rsid w:val="00D362A5"/>
    <w:rsid w:val="00D36D3E"/>
    <w:rsid w:val="00D40E90"/>
    <w:rsid w:val="00D41890"/>
    <w:rsid w:val="00D4271D"/>
    <w:rsid w:val="00D43C84"/>
    <w:rsid w:val="00D4443F"/>
    <w:rsid w:val="00D4649B"/>
    <w:rsid w:val="00D469E4"/>
    <w:rsid w:val="00D46A49"/>
    <w:rsid w:val="00D47E2C"/>
    <w:rsid w:val="00D50A92"/>
    <w:rsid w:val="00D534A9"/>
    <w:rsid w:val="00D53F1A"/>
    <w:rsid w:val="00D54568"/>
    <w:rsid w:val="00D54BF9"/>
    <w:rsid w:val="00D54C61"/>
    <w:rsid w:val="00D55E29"/>
    <w:rsid w:val="00D57D80"/>
    <w:rsid w:val="00D57EC1"/>
    <w:rsid w:val="00D60806"/>
    <w:rsid w:val="00D60F43"/>
    <w:rsid w:val="00D615B0"/>
    <w:rsid w:val="00D620A7"/>
    <w:rsid w:val="00D62960"/>
    <w:rsid w:val="00D62CB3"/>
    <w:rsid w:val="00D62EC2"/>
    <w:rsid w:val="00D641FB"/>
    <w:rsid w:val="00D642FA"/>
    <w:rsid w:val="00D6432E"/>
    <w:rsid w:val="00D6447C"/>
    <w:rsid w:val="00D64BF9"/>
    <w:rsid w:val="00D65C2A"/>
    <w:rsid w:val="00D66A85"/>
    <w:rsid w:val="00D67DFF"/>
    <w:rsid w:val="00D70131"/>
    <w:rsid w:val="00D70152"/>
    <w:rsid w:val="00D70210"/>
    <w:rsid w:val="00D70427"/>
    <w:rsid w:val="00D70F77"/>
    <w:rsid w:val="00D71F9F"/>
    <w:rsid w:val="00D723A5"/>
    <w:rsid w:val="00D72810"/>
    <w:rsid w:val="00D72DE5"/>
    <w:rsid w:val="00D75EAA"/>
    <w:rsid w:val="00D7634E"/>
    <w:rsid w:val="00D769B3"/>
    <w:rsid w:val="00D77799"/>
    <w:rsid w:val="00D8026D"/>
    <w:rsid w:val="00D80C0B"/>
    <w:rsid w:val="00D8262B"/>
    <w:rsid w:val="00D826FB"/>
    <w:rsid w:val="00D835A7"/>
    <w:rsid w:val="00D8367C"/>
    <w:rsid w:val="00D854C6"/>
    <w:rsid w:val="00D85DC1"/>
    <w:rsid w:val="00D85EA4"/>
    <w:rsid w:val="00D869AD"/>
    <w:rsid w:val="00D90CA8"/>
    <w:rsid w:val="00D9141C"/>
    <w:rsid w:val="00D9197B"/>
    <w:rsid w:val="00D91A94"/>
    <w:rsid w:val="00D929CB"/>
    <w:rsid w:val="00D94370"/>
    <w:rsid w:val="00D965B5"/>
    <w:rsid w:val="00D968A2"/>
    <w:rsid w:val="00DA0EA1"/>
    <w:rsid w:val="00DA18DE"/>
    <w:rsid w:val="00DA1A51"/>
    <w:rsid w:val="00DA20A0"/>
    <w:rsid w:val="00DA32D6"/>
    <w:rsid w:val="00DA3B24"/>
    <w:rsid w:val="00DA42E0"/>
    <w:rsid w:val="00DA441E"/>
    <w:rsid w:val="00DA70DB"/>
    <w:rsid w:val="00DA79EF"/>
    <w:rsid w:val="00DA7D77"/>
    <w:rsid w:val="00DB23B7"/>
    <w:rsid w:val="00DB24F2"/>
    <w:rsid w:val="00DB26DA"/>
    <w:rsid w:val="00DB39C1"/>
    <w:rsid w:val="00DB3DDA"/>
    <w:rsid w:val="00DB48B4"/>
    <w:rsid w:val="00DB503C"/>
    <w:rsid w:val="00DB608C"/>
    <w:rsid w:val="00DB65E6"/>
    <w:rsid w:val="00DB6B0C"/>
    <w:rsid w:val="00DB6EFD"/>
    <w:rsid w:val="00DB73D2"/>
    <w:rsid w:val="00DB7C15"/>
    <w:rsid w:val="00DC0C30"/>
    <w:rsid w:val="00DC179B"/>
    <w:rsid w:val="00DC2568"/>
    <w:rsid w:val="00DC35B2"/>
    <w:rsid w:val="00DC3941"/>
    <w:rsid w:val="00DC47ED"/>
    <w:rsid w:val="00DC4DAD"/>
    <w:rsid w:val="00DC568C"/>
    <w:rsid w:val="00DC6132"/>
    <w:rsid w:val="00DC6CC9"/>
    <w:rsid w:val="00DC6F3F"/>
    <w:rsid w:val="00DC74E0"/>
    <w:rsid w:val="00DC752C"/>
    <w:rsid w:val="00DC7AF0"/>
    <w:rsid w:val="00DD0498"/>
    <w:rsid w:val="00DD1938"/>
    <w:rsid w:val="00DD3EA3"/>
    <w:rsid w:val="00DD4D3E"/>
    <w:rsid w:val="00DD5B37"/>
    <w:rsid w:val="00DD5B77"/>
    <w:rsid w:val="00DD64A5"/>
    <w:rsid w:val="00DD6713"/>
    <w:rsid w:val="00DD7081"/>
    <w:rsid w:val="00DD7685"/>
    <w:rsid w:val="00DD7864"/>
    <w:rsid w:val="00DE060F"/>
    <w:rsid w:val="00DE0D20"/>
    <w:rsid w:val="00DE2249"/>
    <w:rsid w:val="00DE2616"/>
    <w:rsid w:val="00DE31C3"/>
    <w:rsid w:val="00DE356C"/>
    <w:rsid w:val="00DE3FAE"/>
    <w:rsid w:val="00DE4C1C"/>
    <w:rsid w:val="00DE544D"/>
    <w:rsid w:val="00DE55D7"/>
    <w:rsid w:val="00DE78F8"/>
    <w:rsid w:val="00DE7E33"/>
    <w:rsid w:val="00DE7FDB"/>
    <w:rsid w:val="00DF10F0"/>
    <w:rsid w:val="00DF12F2"/>
    <w:rsid w:val="00DF2482"/>
    <w:rsid w:val="00DF30EA"/>
    <w:rsid w:val="00DF3A17"/>
    <w:rsid w:val="00DF58F1"/>
    <w:rsid w:val="00DF6249"/>
    <w:rsid w:val="00DF6C3D"/>
    <w:rsid w:val="00DF6DBC"/>
    <w:rsid w:val="00DF7C80"/>
    <w:rsid w:val="00E006F2"/>
    <w:rsid w:val="00E00B98"/>
    <w:rsid w:val="00E014A4"/>
    <w:rsid w:val="00E018DC"/>
    <w:rsid w:val="00E01A2A"/>
    <w:rsid w:val="00E022DF"/>
    <w:rsid w:val="00E03DD9"/>
    <w:rsid w:val="00E04FFE"/>
    <w:rsid w:val="00E05153"/>
    <w:rsid w:val="00E054F7"/>
    <w:rsid w:val="00E05556"/>
    <w:rsid w:val="00E05BBA"/>
    <w:rsid w:val="00E07259"/>
    <w:rsid w:val="00E10249"/>
    <w:rsid w:val="00E10BD3"/>
    <w:rsid w:val="00E11361"/>
    <w:rsid w:val="00E122D6"/>
    <w:rsid w:val="00E13374"/>
    <w:rsid w:val="00E134D2"/>
    <w:rsid w:val="00E147FB"/>
    <w:rsid w:val="00E14EB7"/>
    <w:rsid w:val="00E15486"/>
    <w:rsid w:val="00E15A03"/>
    <w:rsid w:val="00E16176"/>
    <w:rsid w:val="00E17A49"/>
    <w:rsid w:val="00E17EAF"/>
    <w:rsid w:val="00E2087C"/>
    <w:rsid w:val="00E20EC3"/>
    <w:rsid w:val="00E21833"/>
    <w:rsid w:val="00E229ED"/>
    <w:rsid w:val="00E22EB2"/>
    <w:rsid w:val="00E248CE"/>
    <w:rsid w:val="00E25470"/>
    <w:rsid w:val="00E2583C"/>
    <w:rsid w:val="00E25887"/>
    <w:rsid w:val="00E27060"/>
    <w:rsid w:val="00E3131A"/>
    <w:rsid w:val="00E31652"/>
    <w:rsid w:val="00E318F0"/>
    <w:rsid w:val="00E3238C"/>
    <w:rsid w:val="00E32C03"/>
    <w:rsid w:val="00E33005"/>
    <w:rsid w:val="00E33500"/>
    <w:rsid w:val="00E3370F"/>
    <w:rsid w:val="00E33728"/>
    <w:rsid w:val="00E3399F"/>
    <w:rsid w:val="00E34318"/>
    <w:rsid w:val="00E3496B"/>
    <w:rsid w:val="00E34F3D"/>
    <w:rsid w:val="00E3519C"/>
    <w:rsid w:val="00E35304"/>
    <w:rsid w:val="00E3541B"/>
    <w:rsid w:val="00E3545A"/>
    <w:rsid w:val="00E40469"/>
    <w:rsid w:val="00E42846"/>
    <w:rsid w:val="00E429B7"/>
    <w:rsid w:val="00E441E5"/>
    <w:rsid w:val="00E4428E"/>
    <w:rsid w:val="00E442BB"/>
    <w:rsid w:val="00E4527D"/>
    <w:rsid w:val="00E46114"/>
    <w:rsid w:val="00E47470"/>
    <w:rsid w:val="00E47D24"/>
    <w:rsid w:val="00E506B8"/>
    <w:rsid w:val="00E51645"/>
    <w:rsid w:val="00E52565"/>
    <w:rsid w:val="00E52C4A"/>
    <w:rsid w:val="00E53D70"/>
    <w:rsid w:val="00E53F4F"/>
    <w:rsid w:val="00E53F7D"/>
    <w:rsid w:val="00E5502B"/>
    <w:rsid w:val="00E55909"/>
    <w:rsid w:val="00E569FC"/>
    <w:rsid w:val="00E5726E"/>
    <w:rsid w:val="00E574AC"/>
    <w:rsid w:val="00E57923"/>
    <w:rsid w:val="00E60167"/>
    <w:rsid w:val="00E618D5"/>
    <w:rsid w:val="00E62BA2"/>
    <w:rsid w:val="00E62C4F"/>
    <w:rsid w:val="00E63B57"/>
    <w:rsid w:val="00E64C04"/>
    <w:rsid w:val="00E659B0"/>
    <w:rsid w:val="00E65A72"/>
    <w:rsid w:val="00E66C97"/>
    <w:rsid w:val="00E67004"/>
    <w:rsid w:val="00E67370"/>
    <w:rsid w:val="00E67515"/>
    <w:rsid w:val="00E67EDD"/>
    <w:rsid w:val="00E719C0"/>
    <w:rsid w:val="00E72F96"/>
    <w:rsid w:val="00E73950"/>
    <w:rsid w:val="00E74730"/>
    <w:rsid w:val="00E74E20"/>
    <w:rsid w:val="00E75788"/>
    <w:rsid w:val="00E7584F"/>
    <w:rsid w:val="00E75B1A"/>
    <w:rsid w:val="00E77892"/>
    <w:rsid w:val="00E77CE0"/>
    <w:rsid w:val="00E77F6F"/>
    <w:rsid w:val="00E80244"/>
    <w:rsid w:val="00E8177B"/>
    <w:rsid w:val="00E82E6C"/>
    <w:rsid w:val="00E82EDA"/>
    <w:rsid w:val="00E84025"/>
    <w:rsid w:val="00E8575E"/>
    <w:rsid w:val="00E85AF2"/>
    <w:rsid w:val="00E85DDD"/>
    <w:rsid w:val="00E85FCB"/>
    <w:rsid w:val="00E8634E"/>
    <w:rsid w:val="00E8679A"/>
    <w:rsid w:val="00E86C12"/>
    <w:rsid w:val="00E9063A"/>
    <w:rsid w:val="00E910A1"/>
    <w:rsid w:val="00E915A8"/>
    <w:rsid w:val="00E91715"/>
    <w:rsid w:val="00E91E70"/>
    <w:rsid w:val="00E93085"/>
    <w:rsid w:val="00E94523"/>
    <w:rsid w:val="00E94D1B"/>
    <w:rsid w:val="00E95C8F"/>
    <w:rsid w:val="00E95F1B"/>
    <w:rsid w:val="00E960AF"/>
    <w:rsid w:val="00EA1052"/>
    <w:rsid w:val="00EA1DBA"/>
    <w:rsid w:val="00EA23BD"/>
    <w:rsid w:val="00EA34FC"/>
    <w:rsid w:val="00EA3855"/>
    <w:rsid w:val="00EA4A93"/>
    <w:rsid w:val="00EA4BD7"/>
    <w:rsid w:val="00EA5489"/>
    <w:rsid w:val="00EA5523"/>
    <w:rsid w:val="00EA698D"/>
    <w:rsid w:val="00EA6CB5"/>
    <w:rsid w:val="00EA6E7C"/>
    <w:rsid w:val="00EA7409"/>
    <w:rsid w:val="00EA7960"/>
    <w:rsid w:val="00EA7B1B"/>
    <w:rsid w:val="00EB0EC7"/>
    <w:rsid w:val="00EB179B"/>
    <w:rsid w:val="00EB2D2F"/>
    <w:rsid w:val="00EB2D7E"/>
    <w:rsid w:val="00EB32DA"/>
    <w:rsid w:val="00EB3337"/>
    <w:rsid w:val="00EB3DCB"/>
    <w:rsid w:val="00EB3DDD"/>
    <w:rsid w:val="00EB44FC"/>
    <w:rsid w:val="00EB4999"/>
    <w:rsid w:val="00EB50C3"/>
    <w:rsid w:val="00EB5886"/>
    <w:rsid w:val="00EB5D6D"/>
    <w:rsid w:val="00EB5FB5"/>
    <w:rsid w:val="00EB6D6D"/>
    <w:rsid w:val="00EB7DCE"/>
    <w:rsid w:val="00EC0B8D"/>
    <w:rsid w:val="00EC0E0E"/>
    <w:rsid w:val="00EC10D1"/>
    <w:rsid w:val="00EC128D"/>
    <w:rsid w:val="00EC16D4"/>
    <w:rsid w:val="00EC2E94"/>
    <w:rsid w:val="00EC2F16"/>
    <w:rsid w:val="00EC3812"/>
    <w:rsid w:val="00EC547B"/>
    <w:rsid w:val="00EC6D73"/>
    <w:rsid w:val="00EC7343"/>
    <w:rsid w:val="00EC78BD"/>
    <w:rsid w:val="00EC7B9B"/>
    <w:rsid w:val="00EC7C53"/>
    <w:rsid w:val="00ED0180"/>
    <w:rsid w:val="00ED14BB"/>
    <w:rsid w:val="00ED2627"/>
    <w:rsid w:val="00ED3410"/>
    <w:rsid w:val="00ED38C3"/>
    <w:rsid w:val="00ED3BA4"/>
    <w:rsid w:val="00ED3C4C"/>
    <w:rsid w:val="00ED3F44"/>
    <w:rsid w:val="00ED4737"/>
    <w:rsid w:val="00ED4FF8"/>
    <w:rsid w:val="00ED5306"/>
    <w:rsid w:val="00ED67B0"/>
    <w:rsid w:val="00ED6BEF"/>
    <w:rsid w:val="00ED6D83"/>
    <w:rsid w:val="00ED7809"/>
    <w:rsid w:val="00ED7C98"/>
    <w:rsid w:val="00EE0053"/>
    <w:rsid w:val="00EE008D"/>
    <w:rsid w:val="00EE0BC3"/>
    <w:rsid w:val="00EE0DBB"/>
    <w:rsid w:val="00EE1818"/>
    <w:rsid w:val="00EE228F"/>
    <w:rsid w:val="00EE2ED0"/>
    <w:rsid w:val="00EE3A8A"/>
    <w:rsid w:val="00EE5AA9"/>
    <w:rsid w:val="00EE5D81"/>
    <w:rsid w:val="00EE5FAB"/>
    <w:rsid w:val="00EE6777"/>
    <w:rsid w:val="00EE6FAF"/>
    <w:rsid w:val="00EE7E94"/>
    <w:rsid w:val="00EF01D3"/>
    <w:rsid w:val="00EF03D3"/>
    <w:rsid w:val="00EF0AD4"/>
    <w:rsid w:val="00EF13A7"/>
    <w:rsid w:val="00EF13C2"/>
    <w:rsid w:val="00EF5A11"/>
    <w:rsid w:val="00EF5E6B"/>
    <w:rsid w:val="00EF72CB"/>
    <w:rsid w:val="00EF7C98"/>
    <w:rsid w:val="00EF7E1E"/>
    <w:rsid w:val="00F00129"/>
    <w:rsid w:val="00F001F3"/>
    <w:rsid w:val="00F01067"/>
    <w:rsid w:val="00F03133"/>
    <w:rsid w:val="00F039F0"/>
    <w:rsid w:val="00F03B06"/>
    <w:rsid w:val="00F04A24"/>
    <w:rsid w:val="00F05424"/>
    <w:rsid w:val="00F05784"/>
    <w:rsid w:val="00F057B0"/>
    <w:rsid w:val="00F058EF"/>
    <w:rsid w:val="00F05CC9"/>
    <w:rsid w:val="00F062E0"/>
    <w:rsid w:val="00F06D71"/>
    <w:rsid w:val="00F06F44"/>
    <w:rsid w:val="00F11AF7"/>
    <w:rsid w:val="00F13A04"/>
    <w:rsid w:val="00F1514E"/>
    <w:rsid w:val="00F16E9D"/>
    <w:rsid w:val="00F1701E"/>
    <w:rsid w:val="00F172B0"/>
    <w:rsid w:val="00F17893"/>
    <w:rsid w:val="00F17986"/>
    <w:rsid w:val="00F21571"/>
    <w:rsid w:val="00F21E55"/>
    <w:rsid w:val="00F233BB"/>
    <w:rsid w:val="00F2422E"/>
    <w:rsid w:val="00F242D4"/>
    <w:rsid w:val="00F24519"/>
    <w:rsid w:val="00F24827"/>
    <w:rsid w:val="00F24DB6"/>
    <w:rsid w:val="00F2697E"/>
    <w:rsid w:val="00F26EF8"/>
    <w:rsid w:val="00F2724C"/>
    <w:rsid w:val="00F273D6"/>
    <w:rsid w:val="00F27CF4"/>
    <w:rsid w:val="00F27EFE"/>
    <w:rsid w:val="00F30437"/>
    <w:rsid w:val="00F3055A"/>
    <w:rsid w:val="00F30F34"/>
    <w:rsid w:val="00F30FD6"/>
    <w:rsid w:val="00F35172"/>
    <w:rsid w:val="00F352C8"/>
    <w:rsid w:val="00F3530B"/>
    <w:rsid w:val="00F356EC"/>
    <w:rsid w:val="00F36922"/>
    <w:rsid w:val="00F36A5C"/>
    <w:rsid w:val="00F36AAE"/>
    <w:rsid w:val="00F42358"/>
    <w:rsid w:val="00F4277A"/>
    <w:rsid w:val="00F42C8E"/>
    <w:rsid w:val="00F43755"/>
    <w:rsid w:val="00F439D0"/>
    <w:rsid w:val="00F43BCE"/>
    <w:rsid w:val="00F44E84"/>
    <w:rsid w:val="00F45512"/>
    <w:rsid w:val="00F45F9E"/>
    <w:rsid w:val="00F460FB"/>
    <w:rsid w:val="00F47527"/>
    <w:rsid w:val="00F47639"/>
    <w:rsid w:val="00F50A04"/>
    <w:rsid w:val="00F51D78"/>
    <w:rsid w:val="00F51E35"/>
    <w:rsid w:val="00F53035"/>
    <w:rsid w:val="00F54182"/>
    <w:rsid w:val="00F55051"/>
    <w:rsid w:val="00F565F0"/>
    <w:rsid w:val="00F56D94"/>
    <w:rsid w:val="00F570B6"/>
    <w:rsid w:val="00F5723C"/>
    <w:rsid w:val="00F576B6"/>
    <w:rsid w:val="00F61570"/>
    <w:rsid w:val="00F61B45"/>
    <w:rsid w:val="00F61C41"/>
    <w:rsid w:val="00F61EE9"/>
    <w:rsid w:val="00F62EBE"/>
    <w:rsid w:val="00F632E8"/>
    <w:rsid w:val="00F64453"/>
    <w:rsid w:val="00F647DC"/>
    <w:rsid w:val="00F6488B"/>
    <w:rsid w:val="00F66398"/>
    <w:rsid w:val="00F66828"/>
    <w:rsid w:val="00F66AE1"/>
    <w:rsid w:val="00F66CE4"/>
    <w:rsid w:val="00F66EE0"/>
    <w:rsid w:val="00F707FC"/>
    <w:rsid w:val="00F70D7F"/>
    <w:rsid w:val="00F7144F"/>
    <w:rsid w:val="00F73FAB"/>
    <w:rsid w:val="00F74434"/>
    <w:rsid w:val="00F74490"/>
    <w:rsid w:val="00F749C9"/>
    <w:rsid w:val="00F753A7"/>
    <w:rsid w:val="00F75794"/>
    <w:rsid w:val="00F76230"/>
    <w:rsid w:val="00F76236"/>
    <w:rsid w:val="00F7628A"/>
    <w:rsid w:val="00F76710"/>
    <w:rsid w:val="00F771A2"/>
    <w:rsid w:val="00F7729D"/>
    <w:rsid w:val="00F779CF"/>
    <w:rsid w:val="00F80BC0"/>
    <w:rsid w:val="00F8288F"/>
    <w:rsid w:val="00F83728"/>
    <w:rsid w:val="00F837AB"/>
    <w:rsid w:val="00F84965"/>
    <w:rsid w:val="00F86153"/>
    <w:rsid w:val="00F86165"/>
    <w:rsid w:val="00F866C6"/>
    <w:rsid w:val="00F86D88"/>
    <w:rsid w:val="00F903E2"/>
    <w:rsid w:val="00F909B4"/>
    <w:rsid w:val="00F90B5D"/>
    <w:rsid w:val="00F90FAF"/>
    <w:rsid w:val="00F93B81"/>
    <w:rsid w:val="00F93D52"/>
    <w:rsid w:val="00F956A8"/>
    <w:rsid w:val="00F959BA"/>
    <w:rsid w:val="00F964B7"/>
    <w:rsid w:val="00F96727"/>
    <w:rsid w:val="00F9703E"/>
    <w:rsid w:val="00F97084"/>
    <w:rsid w:val="00F97336"/>
    <w:rsid w:val="00F974BD"/>
    <w:rsid w:val="00F9799D"/>
    <w:rsid w:val="00FA069B"/>
    <w:rsid w:val="00FA14A2"/>
    <w:rsid w:val="00FA2030"/>
    <w:rsid w:val="00FA2470"/>
    <w:rsid w:val="00FA26E8"/>
    <w:rsid w:val="00FA3766"/>
    <w:rsid w:val="00FA39DF"/>
    <w:rsid w:val="00FA426A"/>
    <w:rsid w:val="00FA4A00"/>
    <w:rsid w:val="00FA520E"/>
    <w:rsid w:val="00FA6FED"/>
    <w:rsid w:val="00FA7714"/>
    <w:rsid w:val="00FB13B9"/>
    <w:rsid w:val="00FB1B28"/>
    <w:rsid w:val="00FB2432"/>
    <w:rsid w:val="00FB26EA"/>
    <w:rsid w:val="00FB2926"/>
    <w:rsid w:val="00FB2FBC"/>
    <w:rsid w:val="00FB3D65"/>
    <w:rsid w:val="00FB3F06"/>
    <w:rsid w:val="00FB525E"/>
    <w:rsid w:val="00FB6EB5"/>
    <w:rsid w:val="00FC02D5"/>
    <w:rsid w:val="00FC1055"/>
    <w:rsid w:val="00FC2915"/>
    <w:rsid w:val="00FC2B1C"/>
    <w:rsid w:val="00FC5F02"/>
    <w:rsid w:val="00FC63B0"/>
    <w:rsid w:val="00FC6A54"/>
    <w:rsid w:val="00FC6FB7"/>
    <w:rsid w:val="00FC7DAE"/>
    <w:rsid w:val="00FD0A6F"/>
    <w:rsid w:val="00FD1324"/>
    <w:rsid w:val="00FD1437"/>
    <w:rsid w:val="00FD2CBB"/>
    <w:rsid w:val="00FD33B3"/>
    <w:rsid w:val="00FD46BA"/>
    <w:rsid w:val="00FD48B6"/>
    <w:rsid w:val="00FD5B2B"/>
    <w:rsid w:val="00FD5F5A"/>
    <w:rsid w:val="00FD74C1"/>
    <w:rsid w:val="00FE12AD"/>
    <w:rsid w:val="00FE16F5"/>
    <w:rsid w:val="00FE1DA0"/>
    <w:rsid w:val="00FE4533"/>
    <w:rsid w:val="00FE48A2"/>
    <w:rsid w:val="00FE5F6C"/>
    <w:rsid w:val="00FE6582"/>
    <w:rsid w:val="00FE745B"/>
    <w:rsid w:val="00FF0312"/>
    <w:rsid w:val="00FF0B44"/>
    <w:rsid w:val="00FF0B67"/>
    <w:rsid w:val="00FF17AC"/>
    <w:rsid w:val="00FF2568"/>
    <w:rsid w:val="00FF2B4F"/>
    <w:rsid w:val="00FF3073"/>
    <w:rsid w:val="00FF489F"/>
    <w:rsid w:val="00FF49BD"/>
    <w:rsid w:val="00FF551F"/>
    <w:rsid w:val="00FF6647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6414"/>
    <w:pPr>
      <w:spacing w:after="0" w:line="240" w:lineRule="auto"/>
      <w:ind w:firstLine="284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9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91E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281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rancesco\Desktop\Focus%20Crisi_Parte%201_DEF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rancesco\Desktop\Focus%20Crisi_Parte%201_DEF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rancesco\Desktop\Copia%20di%20Focus%20Crisi%20parte%204_DEF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aedrmprsh01\mezzogiorno$\1_Attivit&#224;\3_CHECK%20UP\5_Dicembre%202014\Excel%20SRM\Focus%20Crisi%20parte%203_DEF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autoTitleDeleted val="1"/>
    <c:plotArea>
      <c:layout>
        <c:manualLayout>
          <c:layoutTarget val="inner"/>
          <c:xMode val="edge"/>
          <c:yMode val="edge"/>
          <c:x val="5.9975556040317589E-2"/>
          <c:y val="4.2735131909247374E-2"/>
          <c:w val="0.91676921375914622"/>
          <c:h val="0.85256588158946311"/>
        </c:manualLayout>
      </c:layout>
      <c:barChart>
        <c:barDir val="col"/>
        <c:grouping val="clustered"/>
        <c:ser>
          <c:idx val="0"/>
          <c:order val="0"/>
          <c:tx>
            <c:strRef>
              <c:f>'Graf. II'!$D$19</c:f>
              <c:strCache>
                <c:ptCount val="1"/>
                <c:pt idx="0">
                  <c:v>Indice generale </c:v>
                </c:pt>
              </c:strCache>
            </c:strRef>
          </c:tx>
          <c:spPr>
            <a:solidFill>
              <a:srgbClr val="00B0F0"/>
            </a:solidFill>
          </c:spPr>
          <c:dPt>
            <c:idx val="6"/>
            <c:spPr>
              <a:solidFill>
                <a:srgbClr val="00B0F0"/>
              </a:solidFill>
              <a:ln>
                <a:solidFill>
                  <a:schemeClr val="accent1">
                    <a:lumMod val="20000"/>
                    <a:lumOff val="80000"/>
                  </a:schemeClr>
                </a:solidFill>
              </a:ln>
            </c:spPr>
          </c:dPt>
          <c:dPt>
            <c:idx val="7"/>
            <c:spPr>
              <a:solidFill>
                <a:schemeClr val="accent1"/>
              </a:solidFill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it-IT"/>
              </a:p>
            </c:txPr>
            <c:showVal val="1"/>
          </c:dLbls>
          <c:cat>
            <c:strRef>
              <c:f>'Graf. II'!$E$18:$L$18</c:f>
              <c:strCache>
                <c:ptCount val="8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2014*</c:v>
                </c:pt>
              </c:strCache>
            </c:strRef>
          </c:cat>
          <c:val>
            <c:numRef>
              <c:f>'Graf. II'!$E$19:$L$19</c:f>
              <c:numCache>
                <c:formatCode>0.0</c:formatCode>
                <c:ptCount val="8"/>
                <c:pt idx="0">
                  <c:v>500</c:v>
                </c:pt>
                <c:pt idx="1">
                  <c:v>497.57372745601663</c:v>
                </c:pt>
                <c:pt idx="2">
                  <c:v>448.38408434455732</c:v>
                </c:pt>
                <c:pt idx="3">
                  <c:v>464.77483238055498</c:v>
                </c:pt>
                <c:pt idx="4">
                  <c:v>467.7997517121189</c:v>
                </c:pt>
                <c:pt idx="5">
                  <c:v>466.25524282851342</c:v>
                </c:pt>
                <c:pt idx="6">
                  <c:v>444.71060638682536</c:v>
                </c:pt>
                <c:pt idx="7">
                  <c:v>434.2</c:v>
                </c:pt>
              </c:numCache>
            </c:numRef>
          </c:val>
        </c:ser>
        <c:axId val="132960640"/>
        <c:axId val="132962176"/>
      </c:barChart>
      <c:catAx>
        <c:axId val="132960640"/>
        <c:scaling>
          <c:orientation val="minMax"/>
        </c:scaling>
        <c:axPos val="b"/>
        <c:numFmt formatCode="General" sourceLinked="1"/>
        <c:tickLblPos val="nextTo"/>
        <c:spPr>
          <a:ln>
            <a:solidFill>
              <a:schemeClr val="bg1">
                <a:lumMod val="75000"/>
              </a:schemeClr>
            </a:solidFill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it-IT"/>
          </a:p>
        </c:txPr>
        <c:crossAx val="132962176"/>
        <c:crosses val="autoZero"/>
        <c:auto val="1"/>
        <c:lblAlgn val="ctr"/>
        <c:lblOffset val="100"/>
      </c:catAx>
      <c:valAx>
        <c:axId val="132962176"/>
        <c:scaling>
          <c:orientation val="minMax"/>
        </c:scaling>
        <c:axPos val="l"/>
        <c:numFmt formatCode="0" sourceLinked="0"/>
        <c:tickLblPos val="nextTo"/>
        <c:spPr>
          <a:ln>
            <a:solidFill>
              <a:schemeClr val="bg1">
                <a:lumMod val="75000"/>
              </a:schemeClr>
            </a:solidFill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it-IT"/>
          </a:p>
        </c:txPr>
        <c:crossAx val="132960640"/>
        <c:crosses val="autoZero"/>
        <c:crossBetween val="between"/>
      </c:valAx>
    </c:plotArea>
    <c:plotVisOnly val="1"/>
    <c:dispBlanksAs val="gap"/>
  </c:chart>
  <c:spPr>
    <a:ln>
      <a:solidFill>
        <a:schemeClr val="bg1">
          <a:lumMod val="75000"/>
        </a:schemeClr>
      </a:solidFill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it-IT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plotArea>
      <c:layout/>
      <c:barChart>
        <c:barDir val="col"/>
        <c:grouping val="clustered"/>
        <c:ser>
          <c:idx val="0"/>
          <c:order val="0"/>
          <c:tx>
            <c:strRef>
              <c:f>'Graf. III'!$E$14</c:f>
              <c:strCache>
                <c:ptCount val="1"/>
                <c:pt idx="0">
                  <c:v>2007</c:v>
                </c:pt>
              </c:strCache>
            </c:strRef>
          </c:tx>
          <c:spPr>
            <a:solidFill>
              <a:schemeClr val="accent1"/>
            </a:solidFill>
          </c:spPr>
          <c:cat>
            <c:strRef>
              <c:f>'Graf. III'!$D$15:$D$19</c:f>
              <c:strCache>
                <c:ptCount val="5"/>
                <c:pt idx="0">
                  <c:v>Pil</c:v>
                </c:pt>
                <c:pt idx="1">
                  <c:v>Investimenti</c:v>
                </c:pt>
                <c:pt idx="2">
                  <c:v>Imprese</c:v>
                </c:pt>
                <c:pt idx="3">
                  <c:v>Export</c:v>
                </c:pt>
                <c:pt idx="4">
                  <c:v>Occupazione</c:v>
                </c:pt>
              </c:strCache>
            </c:strRef>
          </c:cat>
          <c:val>
            <c:numRef>
              <c:f>'Graf. III'!$E$15:$E$19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'Graf. III'!$F$14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cat>
            <c:strRef>
              <c:f>'Graf. III'!$D$15:$D$19</c:f>
              <c:strCache>
                <c:ptCount val="5"/>
                <c:pt idx="0">
                  <c:v>Pil</c:v>
                </c:pt>
                <c:pt idx="1">
                  <c:v>Investimenti</c:v>
                </c:pt>
                <c:pt idx="2">
                  <c:v>Imprese</c:v>
                </c:pt>
                <c:pt idx="3">
                  <c:v>Export</c:v>
                </c:pt>
                <c:pt idx="4">
                  <c:v>Occupazione</c:v>
                </c:pt>
              </c:strCache>
            </c:strRef>
          </c:cat>
          <c:val>
            <c:numRef>
              <c:f>'Graf. III'!$F$15:$F$19</c:f>
              <c:numCache>
                <c:formatCode>0.0</c:formatCode>
                <c:ptCount val="5"/>
                <c:pt idx="0">
                  <c:v>98.619651301808503</c:v>
                </c:pt>
                <c:pt idx="1">
                  <c:v>93.833676682449749</c:v>
                </c:pt>
                <c:pt idx="2">
                  <c:v>101.08838325413946</c:v>
                </c:pt>
                <c:pt idx="3">
                  <c:v>104.55765729638556</c:v>
                </c:pt>
                <c:pt idx="4">
                  <c:v>99.474358921234113</c:v>
                </c:pt>
              </c:numCache>
            </c:numRef>
          </c:val>
        </c:ser>
        <c:ser>
          <c:idx val="2"/>
          <c:order val="2"/>
          <c:tx>
            <c:strRef>
              <c:f>'Graf. III'!$G$14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cat>
            <c:strRef>
              <c:f>'Graf. III'!$D$15:$D$19</c:f>
              <c:strCache>
                <c:ptCount val="5"/>
                <c:pt idx="0">
                  <c:v>Pil</c:v>
                </c:pt>
                <c:pt idx="1">
                  <c:v>Investimenti</c:v>
                </c:pt>
                <c:pt idx="2">
                  <c:v>Imprese</c:v>
                </c:pt>
                <c:pt idx="3">
                  <c:v>Export</c:v>
                </c:pt>
                <c:pt idx="4">
                  <c:v>Occupazione</c:v>
                </c:pt>
              </c:strCache>
            </c:strRef>
          </c:cat>
          <c:val>
            <c:numRef>
              <c:f>'Graf. III'!$G$15:$G$19</c:f>
              <c:numCache>
                <c:formatCode>0.0</c:formatCode>
                <c:ptCount val="5"/>
                <c:pt idx="0">
                  <c:v>93.544284303369693</c:v>
                </c:pt>
                <c:pt idx="1">
                  <c:v>83.853897622208748</c:v>
                </c:pt>
                <c:pt idx="2">
                  <c:v>100.54637153264173</c:v>
                </c:pt>
                <c:pt idx="3">
                  <c:v>73.939655889156626</c:v>
                </c:pt>
                <c:pt idx="4">
                  <c:v>96.499874997179973</c:v>
                </c:pt>
              </c:numCache>
            </c:numRef>
          </c:val>
        </c:ser>
        <c:ser>
          <c:idx val="3"/>
          <c:order val="3"/>
          <c:tx>
            <c:strRef>
              <c:f>'Graf. III'!$H$14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cat>
            <c:strRef>
              <c:f>'Graf. III'!$D$15:$D$19</c:f>
              <c:strCache>
                <c:ptCount val="5"/>
                <c:pt idx="0">
                  <c:v>Pil</c:v>
                </c:pt>
                <c:pt idx="1">
                  <c:v>Investimenti</c:v>
                </c:pt>
                <c:pt idx="2">
                  <c:v>Imprese</c:v>
                </c:pt>
                <c:pt idx="3">
                  <c:v>Export</c:v>
                </c:pt>
                <c:pt idx="4">
                  <c:v>Occupazione</c:v>
                </c:pt>
              </c:strCache>
            </c:strRef>
          </c:cat>
          <c:val>
            <c:numRef>
              <c:f>'Graf. III'!$H$15:$H$19</c:f>
              <c:numCache>
                <c:formatCode>0.0</c:formatCode>
                <c:ptCount val="5"/>
                <c:pt idx="0">
                  <c:v>93.262066391853608</c:v>
                </c:pt>
                <c:pt idx="1">
                  <c:v>82.273814134693069</c:v>
                </c:pt>
                <c:pt idx="2">
                  <c:v>100.1996793504227</c:v>
                </c:pt>
                <c:pt idx="3">
                  <c:v>93.868647874698297</c:v>
                </c:pt>
                <c:pt idx="4">
                  <c:v>95.170624628885875</c:v>
                </c:pt>
              </c:numCache>
            </c:numRef>
          </c:val>
        </c:ser>
        <c:ser>
          <c:idx val="4"/>
          <c:order val="4"/>
          <c:tx>
            <c:strRef>
              <c:f>'Graf. III'!$I$14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'Graf. III'!$D$15:$D$19</c:f>
              <c:strCache>
                <c:ptCount val="5"/>
                <c:pt idx="0">
                  <c:v>Pil</c:v>
                </c:pt>
                <c:pt idx="1">
                  <c:v>Investimenti</c:v>
                </c:pt>
                <c:pt idx="2">
                  <c:v>Imprese</c:v>
                </c:pt>
                <c:pt idx="3">
                  <c:v>Export</c:v>
                </c:pt>
                <c:pt idx="4">
                  <c:v>Occupazione</c:v>
                </c:pt>
              </c:strCache>
            </c:strRef>
          </c:cat>
          <c:val>
            <c:numRef>
              <c:f>'Graf. III'!$I$15:$I$19</c:f>
              <c:numCache>
                <c:formatCode>0.0</c:formatCode>
                <c:ptCount val="5"/>
                <c:pt idx="0">
                  <c:v>92.737315836987548</c:v>
                </c:pt>
                <c:pt idx="1">
                  <c:v>76.401424369663744</c:v>
                </c:pt>
                <c:pt idx="2">
                  <c:v>99.738004415616729</c:v>
                </c:pt>
                <c:pt idx="3">
                  <c:v>103.52949529638555</c:v>
                </c:pt>
                <c:pt idx="4">
                  <c:v>95.393511793467411</c:v>
                </c:pt>
              </c:numCache>
            </c:numRef>
          </c:val>
        </c:ser>
        <c:ser>
          <c:idx val="5"/>
          <c:order val="5"/>
          <c:tx>
            <c:strRef>
              <c:f>'Graf. III'!$J$14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'Graf. III'!$D$15:$D$19</c:f>
              <c:strCache>
                <c:ptCount val="5"/>
                <c:pt idx="0">
                  <c:v>Pil</c:v>
                </c:pt>
                <c:pt idx="1">
                  <c:v>Investimenti</c:v>
                </c:pt>
                <c:pt idx="2">
                  <c:v>Imprese</c:v>
                </c:pt>
                <c:pt idx="3">
                  <c:v>Export</c:v>
                </c:pt>
                <c:pt idx="4">
                  <c:v>Occupazione</c:v>
                </c:pt>
              </c:strCache>
            </c:strRef>
          </c:cat>
          <c:val>
            <c:numRef>
              <c:f>'Graf. III'!$J$15:$J$19</c:f>
              <c:numCache>
                <c:formatCode>0.0</c:formatCode>
                <c:ptCount val="5"/>
                <c:pt idx="0">
                  <c:v>89.797045635501306</c:v>
                </c:pt>
                <c:pt idx="1">
                  <c:v>70.614880747592849</c:v>
                </c:pt>
                <c:pt idx="2">
                  <c:v>99.123096651780855</c:v>
                </c:pt>
                <c:pt idx="3">
                  <c:v>111.86949188433736</c:v>
                </c:pt>
                <c:pt idx="4">
                  <c:v>94.850727909300602</c:v>
                </c:pt>
              </c:numCache>
            </c:numRef>
          </c:val>
        </c:ser>
        <c:ser>
          <c:idx val="6"/>
          <c:order val="6"/>
          <c:tx>
            <c:strRef>
              <c:f>'Graf. III'!$K$14</c:f>
              <c:strCache>
                <c:ptCount val="1"/>
                <c:pt idx="0">
                  <c:v>2013</c:v>
                </c:pt>
              </c:strCache>
            </c:strRef>
          </c:tx>
          <c:dLbls>
            <c:dLbl>
              <c:idx val="0"/>
              <c:layout>
                <c:manualLayout>
                  <c:x val="1.4336915250607343E-2"/>
                  <c:y val="-1.3008130081300823E-2"/>
                </c:manualLayout>
              </c:layout>
              <c:showVal val="1"/>
            </c:dLbl>
            <c:dLbl>
              <c:idx val="1"/>
              <c:layout>
                <c:manualLayout>
                  <c:x val="2.0513053673486001E-3"/>
                  <c:y val="-3.2427806001033642E-2"/>
                </c:manualLayout>
              </c:layout>
              <c:showVal val="1"/>
            </c:dLbl>
            <c:dLbl>
              <c:idx val="2"/>
              <c:layout>
                <c:manualLayout>
                  <c:x val="3.2245623946374454E-6"/>
                  <c:y val="-6.5039454681758034E-3"/>
                </c:manualLayout>
              </c:layout>
              <c:showVal val="1"/>
            </c:dLbl>
            <c:dLbl>
              <c:idx val="3"/>
              <c:layout>
                <c:manualLayout>
                  <c:x val="1.8435790578860543E-2"/>
                  <c:y val="3.2519727340879156E-3"/>
                </c:manualLayout>
              </c:layout>
              <c:showVal val="1"/>
            </c:dLbl>
            <c:dLbl>
              <c:idx val="4"/>
              <c:layout>
                <c:manualLayout>
                  <c:x val="-2.6620374848929342E-2"/>
                  <c:y val="-2.2764319812725652E-2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it-IT"/>
              </a:p>
            </c:txPr>
            <c:showVal val="1"/>
          </c:dLbls>
          <c:cat>
            <c:strRef>
              <c:f>'Graf. III'!$D$15:$D$19</c:f>
              <c:strCache>
                <c:ptCount val="5"/>
                <c:pt idx="0">
                  <c:v>Pil</c:v>
                </c:pt>
                <c:pt idx="1">
                  <c:v>Investimenti</c:v>
                </c:pt>
                <c:pt idx="2">
                  <c:v>Imprese</c:v>
                </c:pt>
                <c:pt idx="3">
                  <c:v>Export</c:v>
                </c:pt>
                <c:pt idx="4">
                  <c:v>Occupazione</c:v>
                </c:pt>
              </c:strCache>
            </c:strRef>
          </c:cat>
          <c:val>
            <c:numRef>
              <c:f>'Graf. III'!$K$15:$K$19</c:f>
              <c:numCache>
                <c:formatCode>0.0</c:formatCode>
                <c:ptCount val="5"/>
                <c:pt idx="0">
                  <c:v>86.651137094854477</c:v>
                </c:pt>
                <c:pt idx="1">
                  <c:v>66.956104837453879</c:v>
                </c:pt>
                <c:pt idx="2">
                  <c:v>98.160682874313039</c:v>
                </c:pt>
                <c:pt idx="3">
                  <c:v>102.40963855421687</c:v>
                </c:pt>
                <c:pt idx="4">
                  <c:v>90.533043025986004</c:v>
                </c:pt>
              </c:numCache>
            </c:numRef>
          </c:val>
        </c:ser>
        <c:ser>
          <c:idx val="7"/>
          <c:order val="7"/>
          <c:tx>
            <c:strRef>
              <c:f>'Graf. III'!$L$14</c:f>
              <c:strCache>
                <c:ptCount val="1"/>
                <c:pt idx="0">
                  <c:v>2014</c:v>
                </c:pt>
              </c:strCache>
            </c:strRef>
          </c:tx>
          <c:dLbls>
            <c:dLbl>
              <c:idx val="0"/>
              <c:layout>
                <c:manualLayout>
                  <c:x val="1.2288807285963271E-2"/>
                  <c:y val="5.5173741545790106E-2"/>
                </c:manualLayout>
              </c:layout>
              <c:spPr/>
              <c:txPr>
                <a:bodyPr/>
                <a:lstStyle/>
                <a:p>
                  <a:pPr>
                    <a:defRPr sz="900"/>
                  </a:pPr>
                  <a:endParaRPr lang="it-IT"/>
                </a:p>
              </c:txPr>
              <c:showVal val="1"/>
            </c:dLbl>
            <c:dLbl>
              <c:idx val="1"/>
              <c:layout>
                <c:manualLayout>
                  <c:x val="1.8433210928944798E-2"/>
                  <c:y val="3.5698163003090602E-2"/>
                </c:manualLayout>
              </c:layout>
              <c:showVal val="1"/>
            </c:dLbl>
            <c:dLbl>
              <c:idx val="2"/>
              <c:layout>
                <c:manualLayout>
                  <c:x val="2.2529438250954471E-2"/>
                  <c:y val="1.9512195121951223E-2"/>
                </c:manualLayout>
              </c:layout>
              <c:showVal val="1"/>
            </c:dLbl>
            <c:dLbl>
              <c:idx val="3"/>
              <c:layout>
                <c:manualLayout>
                  <c:x val="1.8433210928944798E-2"/>
                  <c:y val="6.8181632482141832E-2"/>
                </c:manualLayout>
              </c:layout>
              <c:showVal val="1"/>
            </c:dLbl>
            <c:dLbl>
              <c:idx val="4"/>
              <c:layout>
                <c:manualLayout>
                  <c:x val="6.1443922502602902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/>
                </a:pPr>
                <a:endParaRPr lang="it-IT"/>
              </a:p>
            </c:txPr>
            <c:showVal val="1"/>
          </c:dLbls>
          <c:cat>
            <c:strRef>
              <c:f>'Graf. III'!$D$15:$D$19</c:f>
              <c:strCache>
                <c:ptCount val="5"/>
                <c:pt idx="0">
                  <c:v>Pil</c:v>
                </c:pt>
                <c:pt idx="1">
                  <c:v>Investimenti</c:v>
                </c:pt>
                <c:pt idx="2">
                  <c:v>Imprese</c:v>
                </c:pt>
                <c:pt idx="3">
                  <c:v>Export</c:v>
                </c:pt>
                <c:pt idx="4">
                  <c:v>Occupazione</c:v>
                </c:pt>
              </c:strCache>
            </c:strRef>
          </c:cat>
          <c:val>
            <c:numRef>
              <c:f>'Graf. III'!$L$15:$L$19</c:f>
              <c:numCache>
                <c:formatCode>0.0</c:formatCode>
                <c:ptCount val="5"/>
                <c:pt idx="0">
                  <c:v>85.349067494569283</c:v>
                </c:pt>
                <c:pt idx="1">
                  <c:v>64.124916007750585</c:v>
                </c:pt>
                <c:pt idx="2">
                  <c:v>97.634366472936009</c:v>
                </c:pt>
                <c:pt idx="3">
                  <c:v>97.831325301204814</c:v>
                </c:pt>
                <c:pt idx="4">
                  <c:v>89.305268243467111</c:v>
                </c:pt>
              </c:numCache>
            </c:numRef>
          </c:val>
        </c:ser>
        <c:axId val="133410176"/>
        <c:axId val="134063232"/>
      </c:barChart>
      <c:catAx>
        <c:axId val="133410176"/>
        <c:scaling>
          <c:orientation val="minMax"/>
        </c:scaling>
        <c:axPos val="b"/>
        <c:numFmt formatCode="General" sourceLinked="1"/>
        <c:tickLblPos val="nextTo"/>
        <c:spPr>
          <a:ln>
            <a:solidFill>
              <a:schemeClr val="bg1">
                <a:lumMod val="85000"/>
              </a:schemeClr>
            </a:solidFill>
          </a:ln>
        </c:spPr>
        <c:txPr>
          <a:bodyPr/>
          <a:lstStyle/>
          <a:p>
            <a:pPr>
              <a:defRPr sz="1000"/>
            </a:pPr>
            <a:endParaRPr lang="it-IT"/>
          </a:p>
        </c:txPr>
        <c:crossAx val="134063232"/>
        <c:crosses val="autoZero"/>
        <c:auto val="1"/>
        <c:lblAlgn val="ctr"/>
        <c:lblOffset val="100"/>
      </c:catAx>
      <c:valAx>
        <c:axId val="134063232"/>
        <c:scaling>
          <c:orientation val="minMax"/>
        </c:scaling>
        <c:axPos val="l"/>
        <c:numFmt formatCode="General" sourceLinked="1"/>
        <c:tickLblPos val="nextTo"/>
        <c:spPr>
          <a:ln>
            <a:solidFill>
              <a:schemeClr val="bg1">
                <a:lumMod val="85000"/>
              </a:schemeClr>
            </a:solidFill>
          </a:ln>
        </c:spPr>
        <c:txPr>
          <a:bodyPr/>
          <a:lstStyle/>
          <a:p>
            <a:pPr>
              <a:defRPr sz="1000"/>
            </a:pPr>
            <a:endParaRPr lang="it-IT"/>
          </a:p>
        </c:txPr>
        <c:crossAx val="133410176"/>
        <c:crosses val="autoZero"/>
        <c:crossBetween val="between"/>
      </c:valAx>
      <c:spPr>
        <a:ln>
          <a:solidFill>
            <a:schemeClr val="bg1">
              <a:lumMod val="85000"/>
            </a:schemeClr>
          </a:solidFill>
        </a:ln>
      </c:spPr>
    </c:plotArea>
    <c:legend>
      <c:legendPos val="b"/>
      <c:txPr>
        <a:bodyPr/>
        <a:lstStyle/>
        <a:p>
          <a:pPr>
            <a:defRPr sz="1000"/>
          </a:pPr>
          <a:endParaRPr lang="it-IT"/>
        </a:p>
      </c:txPr>
    </c:legend>
    <c:plotVisOnly val="1"/>
    <c:dispBlanksAs val="gap"/>
  </c:chart>
  <c:spPr>
    <a:ln w="19050">
      <a:solidFill>
        <a:schemeClr val="bg1">
          <a:lumMod val="65000"/>
        </a:schemeClr>
      </a:solidFill>
    </a:ln>
  </c:spPr>
  <c:txPr>
    <a:bodyPr/>
    <a:lstStyle/>
    <a:p>
      <a:pPr>
        <a:defRPr sz="1200"/>
      </a:pPr>
      <a:endParaRPr lang="it-IT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autoTitleDeleted val="1"/>
    <c:plotArea>
      <c:layout>
        <c:manualLayout>
          <c:layoutTarget val="inner"/>
          <c:xMode val="edge"/>
          <c:yMode val="edge"/>
          <c:x val="8.2621312492522747E-2"/>
          <c:y val="4.8611275944267916E-2"/>
          <c:w val="0.60683929520370872"/>
          <c:h val="0.74212144303076799"/>
        </c:manualLayout>
      </c:layout>
      <c:barChart>
        <c:barDir val="bar"/>
        <c:grouping val="clustered"/>
        <c:ser>
          <c:idx val="0"/>
          <c:order val="0"/>
          <c:tx>
            <c:strRef>
              <c:f>'Graf XI'!$F$3</c:f>
              <c:strCache>
                <c:ptCount val="1"/>
                <c:pt idx="0">
                  <c:v>Differenza II 2014 su II 2007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</c:spPr>
          <c:dLbls>
            <c:dLbl>
              <c:idx val="0"/>
              <c:dLblPos val="outEnd"/>
              <c:showVal val="1"/>
            </c:dLbl>
            <c:dLbl>
              <c:idx val="2"/>
              <c:layout>
                <c:manualLayout>
                  <c:x val="0"/>
                  <c:y val="4.2026616857343241E-2"/>
                </c:manualLayout>
              </c:layout>
              <c:showVal val="1"/>
            </c:dLbl>
            <c:dLbl>
              <c:idx val="5"/>
              <c:layout>
                <c:manualLayout>
                  <c:x val="1.40393100681909E-2"/>
                  <c:y val="4.6696240952603975E-3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/>
                </a:pPr>
                <a:endParaRPr lang="it-IT"/>
              </a:p>
            </c:txPr>
            <c:showVal val="1"/>
          </c:dLbls>
          <c:cat>
            <c:strRef>
              <c:f>'Graf XI'!$C$4:$C$13</c:f>
              <c:strCache>
                <c:ptCount val="10"/>
                <c:pt idx="0">
                  <c:v>Centro-Nord</c:v>
                </c:pt>
                <c:pt idx="1">
                  <c:v>Mezzogiorno</c:v>
                </c:pt>
                <c:pt idx="2">
                  <c:v>Abruzzo</c:v>
                </c:pt>
                <c:pt idx="3">
                  <c:v>Molise</c:v>
                </c:pt>
                <c:pt idx="4">
                  <c:v>Campania</c:v>
                </c:pt>
                <c:pt idx="5">
                  <c:v>Puglia</c:v>
                </c:pt>
                <c:pt idx="6">
                  <c:v>Basilicata</c:v>
                </c:pt>
                <c:pt idx="7">
                  <c:v>Calabria</c:v>
                </c:pt>
                <c:pt idx="8">
                  <c:v>Sicilia</c:v>
                </c:pt>
                <c:pt idx="9">
                  <c:v>Sardegna</c:v>
                </c:pt>
              </c:strCache>
            </c:strRef>
          </c:cat>
          <c:val>
            <c:numRef>
              <c:f>'Graf XI'!$F$4:$F$13</c:f>
              <c:numCache>
                <c:formatCode>0</c:formatCode>
                <c:ptCount val="10"/>
                <c:pt idx="0">
                  <c:v>-128</c:v>
                </c:pt>
                <c:pt idx="1">
                  <c:v>-724</c:v>
                </c:pt>
                <c:pt idx="2">
                  <c:v>-30</c:v>
                </c:pt>
                <c:pt idx="3">
                  <c:v>-7</c:v>
                </c:pt>
                <c:pt idx="4">
                  <c:v>-197</c:v>
                </c:pt>
                <c:pt idx="5">
                  <c:v>-157</c:v>
                </c:pt>
                <c:pt idx="6">
                  <c:v>-10</c:v>
                </c:pt>
                <c:pt idx="7">
                  <c:v>-74</c:v>
                </c:pt>
                <c:pt idx="8">
                  <c:v>-181</c:v>
                </c:pt>
                <c:pt idx="9">
                  <c:v>-69</c:v>
                </c:pt>
              </c:numCache>
            </c:numRef>
          </c:val>
        </c:ser>
        <c:ser>
          <c:idx val="1"/>
          <c:order val="1"/>
          <c:tx>
            <c:strRef>
              <c:f>'Graf XI'!$G$3</c:f>
              <c:strCache>
                <c:ptCount val="1"/>
                <c:pt idx="0">
                  <c:v>Differenza 2013 su 2007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2"/>
              <c:layout>
                <c:manualLayout>
                  <c:x val="2.0059315690231882E-3"/>
                  <c:y val="-9.3392481905206666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0028078620136325E-2"/>
                  <c:y val="-9.3392481905206666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0"/>
                  <c:y val="-1.4008872285781003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6.0168471720817764E-3"/>
                  <c:y val="-1.8678496381041326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8.0224628961091671E-3"/>
                  <c:y val="-1.4008872285781003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6.0165313270859055E-3"/>
                  <c:y val="-1.4008872285781003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/>
                </a:pPr>
                <a:endParaRPr lang="it-IT"/>
              </a:p>
            </c:txPr>
            <c:dLblPos val="outEnd"/>
            <c:showVal val="1"/>
          </c:dLbls>
          <c:cat>
            <c:strRef>
              <c:f>'Graf XI'!$C$4:$C$13</c:f>
              <c:strCache>
                <c:ptCount val="10"/>
                <c:pt idx="0">
                  <c:v>Centro-Nord</c:v>
                </c:pt>
                <c:pt idx="1">
                  <c:v>Mezzogiorno</c:v>
                </c:pt>
                <c:pt idx="2">
                  <c:v>Abruzzo</c:v>
                </c:pt>
                <c:pt idx="3">
                  <c:v>Molise</c:v>
                </c:pt>
                <c:pt idx="4">
                  <c:v>Campania</c:v>
                </c:pt>
                <c:pt idx="5">
                  <c:v>Puglia</c:v>
                </c:pt>
                <c:pt idx="6">
                  <c:v>Basilicata</c:v>
                </c:pt>
                <c:pt idx="7">
                  <c:v>Calabria</c:v>
                </c:pt>
                <c:pt idx="8">
                  <c:v>Sicilia</c:v>
                </c:pt>
                <c:pt idx="9">
                  <c:v>Sardegna</c:v>
                </c:pt>
              </c:strCache>
            </c:strRef>
          </c:cat>
          <c:val>
            <c:numRef>
              <c:f>'Graf XI'!$G$4:$G$13</c:f>
              <c:numCache>
                <c:formatCode>0</c:formatCode>
                <c:ptCount val="10"/>
                <c:pt idx="0">
                  <c:v>-184</c:v>
                </c:pt>
                <c:pt idx="1">
                  <c:v>-617</c:v>
                </c:pt>
                <c:pt idx="2">
                  <c:v>-12</c:v>
                </c:pt>
                <c:pt idx="3">
                  <c:v>-13</c:v>
                </c:pt>
                <c:pt idx="4">
                  <c:v>-146</c:v>
                </c:pt>
                <c:pt idx="5">
                  <c:v>-128</c:v>
                </c:pt>
                <c:pt idx="6">
                  <c:v>-15</c:v>
                </c:pt>
                <c:pt idx="7">
                  <c:v>-75</c:v>
                </c:pt>
                <c:pt idx="8">
                  <c:v>-167</c:v>
                </c:pt>
                <c:pt idx="9">
                  <c:v>-61</c:v>
                </c:pt>
              </c:numCache>
            </c:numRef>
          </c:val>
        </c:ser>
        <c:overlap val="23"/>
        <c:axId val="133375872"/>
        <c:axId val="133377408"/>
      </c:barChart>
      <c:catAx>
        <c:axId val="133375872"/>
        <c:scaling>
          <c:orientation val="minMax"/>
        </c:scaling>
        <c:axPos val="l"/>
        <c:numFmt formatCode="General" sourceLinked="1"/>
        <c:tickLblPos val="high"/>
        <c:txPr>
          <a:bodyPr/>
          <a:lstStyle/>
          <a:p>
            <a:pPr>
              <a:defRPr sz="900"/>
            </a:pPr>
            <a:endParaRPr lang="it-IT"/>
          </a:p>
        </c:txPr>
        <c:crossAx val="133377408"/>
        <c:crosses val="autoZero"/>
        <c:auto val="1"/>
        <c:lblAlgn val="ctr"/>
        <c:lblOffset val="100"/>
      </c:catAx>
      <c:valAx>
        <c:axId val="133377408"/>
        <c:scaling>
          <c:orientation val="minMax"/>
          <c:max val="50"/>
          <c:min val="-800"/>
        </c:scaling>
        <c:axPos val="b"/>
        <c:numFmt formatCode="0" sourceLinked="1"/>
        <c:tickLblPos val="nextTo"/>
        <c:spPr>
          <a:ln>
            <a:solidFill>
              <a:schemeClr val="bg1">
                <a:lumMod val="75000"/>
              </a:schemeClr>
            </a:solidFill>
          </a:ln>
        </c:spPr>
        <c:txPr>
          <a:bodyPr/>
          <a:lstStyle/>
          <a:p>
            <a:pPr>
              <a:defRPr sz="900"/>
            </a:pPr>
            <a:endParaRPr lang="it-IT"/>
          </a:p>
        </c:txPr>
        <c:crossAx val="133375872"/>
        <c:crosses val="autoZero"/>
        <c:crossBetween val="between"/>
      </c:valAx>
    </c:plotArea>
    <c:legend>
      <c:legendPos val="b"/>
      <c:txPr>
        <a:bodyPr/>
        <a:lstStyle/>
        <a:p>
          <a:pPr>
            <a:defRPr sz="900"/>
          </a:pPr>
          <a:endParaRPr lang="it-IT"/>
        </a:p>
      </c:txPr>
    </c:legend>
    <c:plotVisOnly val="1"/>
    <c:dispBlanksAs val="gap"/>
  </c:chart>
  <c:spPr>
    <a:ln>
      <a:solidFill>
        <a:schemeClr val="bg1">
          <a:lumMod val="75000"/>
        </a:schemeClr>
      </a:solidFill>
    </a:ln>
  </c:spPr>
  <c:txPr>
    <a:bodyPr/>
    <a:lstStyle/>
    <a:p>
      <a:pPr>
        <a:defRPr sz="1200"/>
      </a:pPr>
      <a:endParaRPr lang="it-IT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style val="5"/>
  <c:chart>
    <c:plotArea>
      <c:layout/>
      <c:barChart>
        <c:barDir val="bar"/>
        <c:grouping val="clustered"/>
        <c:ser>
          <c:idx val="0"/>
          <c:order val="0"/>
          <c:tx>
            <c:strRef>
              <c:f>'grafico VIII'!$U$10</c:f>
              <c:strCache>
                <c:ptCount val="1"/>
                <c:pt idx="0">
                  <c:v>2013</c:v>
                </c:pt>
              </c:strCache>
            </c:strRef>
          </c:tx>
          <c:dLbls>
            <c:dLbl>
              <c:idx val="0"/>
              <c:layout>
                <c:manualLayout>
                  <c:x val="-4.2260961436872734E-3"/>
                  <c:y val="9.5351597126738536E-3"/>
                </c:manualLayout>
              </c:layout>
              <c:showVal val="1"/>
            </c:dLbl>
            <c:dLbl>
              <c:idx val="1"/>
              <c:layout>
                <c:manualLayout>
                  <c:x val="-6.3391442155309114E-3"/>
                  <c:y val="3.1783865708913273E-3"/>
                </c:manualLayout>
              </c:layout>
              <c:showVal val="1"/>
            </c:dLbl>
            <c:dLbl>
              <c:idx val="2"/>
              <c:layout>
                <c:manualLayout>
                  <c:x val="-4.2260961436872734E-3"/>
                  <c:y val="9.5351597126738536E-3"/>
                </c:manualLayout>
              </c:layout>
              <c:showVal val="1"/>
            </c:dLbl>
            <c:dLbl>
              <c:idx val="3"/>
              <c:layout>
                <c:manualLayout>
                  <c:x val="-6.3391442155309114E-3"/>
                  <c:y val="3.1783865708913273E-3"/>
                </c:manualLayout>
              </c:layout>
              <c:showVal val="1"/>
            </c:dLbl>
            <c:dLbl>
              <c:idx val="4"/>
              <c:layout>
                <c:manualLayout>
                  <c:x val="-6.3391442155309114E-3"/>
                  <c:y val="9.5351597126738536E-3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9.5351597126738536E-3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9.5351597126738536E-3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6.3567731417826512E-3"/>
                </c:manualLayout>
              </c:layout>
              <c:showVal val="1"/>
            </c:dLbl>
            <c:showVal val="1"/>
          </c:dLbls>
          <c:cat>
            <c:strRef>
              <c:f>'grafico VIII'!$T$11:$T$21</c:f>
              <c:strCache>
                <c:ptCount val="11"/>
                <c:pt idx="0">
                  <c:v>Abruzzo</c:v>
                </c:pt>
                <c:pt idx="1">
                  <c:v>Molise</c:v>
                </c:pt>
                <c:pt idx="2">
                  <c:v>Campania</c:v>
                </c:pt>
                <c:pt idx="3">
                  <c:v>Puglia</c:v>
                </c:pt>
                <c:pt idx="4">
                  <c:v>Basilicata</c:v>
                </c:pt>
                <c:pt idx="5">
                  <c:v>Calabria</c:v>
                </c:pt>
                <c:pt idx="6">
                  <c:v>Sicilia</c:v>
                </c:pt>
                <c:pt idx="7">
                  <c:v>Sardegna</c:v>
                </c:pt>
                <c:pt idx="9">
                  <c:v>Centro-Nord</c:v>
                </c:pt>
                <c:pt idx="10">
                  <c:v>Mezzogiorno</c:v>
                </c:pt>
              </c:strCache>
            </c:strRef>
          </c:cat>
          <c:val>
            <c:numRef>
              <c:f>'grafico VIII'!$U$11:$U$21</c:f>
              <c:numCache>
                <c:formatCode>#,##0</c:formatCode>
                <c:ptCount val="11"/>
                <c:pt idx="0">
                  <c:v>28</c:v>
                </c:pt>
                <c:pt idx="1">
                  <c:v>5</c:v>
                </c:pt>
                <c:pt idx="2">
                  <c:v>93</c:v>
                </c:pt>
                <c:pt idx="3">
                  <c:v>67</c:v>
                </c:pt>
                <c:pt idx="4">
                  <c:v>10</c:v>
                </c:pt>
                <c:pt idx="5">
                  <c:v>28</c:v>
                </c:pt>
                <c:pt idx="6">
                  <c:v>79</c:v>
                </c:pt>
                <c:pt idx="7">
                  <c:v>27</c:v>
                </c:pt>
                <c:pt idx="9">
                  <c:v>696</c:v>
                </c:pt>
                <c:pt idx="10">
                  <c:v>336</c:v>
                </c:pt>
              </c:numCache>
            </c:numRef>
          </c:val>
        </c:ser>
        <c:ser>
          <c:idx val="1"/>
          <c:order val="1"/>
          <c:tx>
            <c:strRef>
              <c:f>'grafico VIII'!$V$10</c:f>
              <c:strCache>
                <c:ptCount val="1"/>
                <c:pt idx="0">
                  <c:v>III 2014</c:v>
                </c:pt>
              </c:strCache>
            </c:strRef>
          </c:tx>
          <c:dLbls>
            <c:showVal val="1"/>
          </c:dLbls>
          <c:cat>
            <c:strRef>
              <c:f>'grafico VIII'!$T$11:$T$21</c:f>
              <c:strCache>
                <c:ptCount val="11"/>
                <c:pt idx="0">
                  <c:v>Abruzzo</c:v>
                </c:pt>
                <c:pt idx="1">
                  <c:v>Molise</c:v>
                </c:pt>
                <c:pt idx="2">
                  <c:v>Campania</c:v>
                </c:pt>
                <c:pt idx="3">
                  <c:v>Puglia</c:v>
                </c:pt>
                <c:pt idx="4">
                  <c:v>Basilicata</c:v>
                </c:pt>
                <c:pt idx="5">
                  <c:v>Calabria</c:v>
                </c:pt>
                <c:pt idx="6">
                  <c:v>Sicilia</c:v>
                </c:pt>
                <c:pt idx="7">
                  <c:v>Sardegna</c:v>
                </c:pt>
                <c:pt idx="9">
                  <c:v>Centro-Nord</c:v>
                </c:pt>
                <c:pt idx="10">
                  <c:v>Mezzogiorno</c:v>
                </c:pt>
              </c:strCache>
            </c:strRef>
          </c:cat>
          <c:val>
            <c:numRef>
              <c:f>'grafico VIII'!$V$11:$V$21</c:f>
              <c:numCache>
                <c:formatCode>#,##0</c:formatCode>
                <c:ptCount val="11"/>
                <c:pt idx="0">
                  <c:v>26</c:v>
                </c:pt>
                <c:pt idx="1">
                  <c:v>5</c:v>
                </c:pt>
                <c:pt idx="2">
                  <c:v>92</c:v>
                </c:pt>
                <c:pt idx="3">
                  <c:v>67</c:v>
                </c:pt>
                <c:pt idx="4">
                  <c:v>9</c:v>
                </c:pt>
                <c:pt idx="5">
                  <c:v>28</c:v>
                </c:pt>
                <c:pt idx="6">
                  <c:v>74</c:v>
                </c:pt>
                <c:pt idx="7">
                  <c:v>25</c:v>
                </c:pt>
                <c:pt idx="9">
                  <c:v>627</c:v>
                </c:pt>
                <c:pt idx="10">
                  <c:v>326</c:v>
                </c:pt>
              </c:numCache>
            </c:numRef>
          </c:val>
        </c:ser>
        <c:axId val="134257664"/>
        <c:axId val="134267648"/>
      </c:barChart>
      <c:catAx>
        <c:axId val="134257664"/>
        <c:scaling>
          <c:orientation val="minMax"/>
        </c:scaling>
        <c:axPos val="l"/>
        <c:tickLblPos val="nextTo"/>
        <c:crossAx val="134267648"/>
        <c:crosses val="autoZero"/>
        <c:auto val="1"/>
        <c:lblAlgn val="ctr"/>
        <c:lblOffset val="100"/>
      </c:catAx>
      <c:valAx>
        <c:axId val="134267648"/>
        <c:scaling>
          <c:orientation val="minMax"/>
        </c:scaling>
        <c:axPos val="b"/>
        <c:numFmt formatCode="#,##0" sourceLinked="1"/>
        <c:tickLblPos val="nextTo"/>
        <c:crossAx val="1342576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8087972215735452"/>
          <c:y val="0.92173188563849606"/>
          <c:w val="0.32093852095680986"/>
          <c:h val="6.0549401028429463E-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BC2D8-A005-4DC1-8682-A7B5FEA2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Confindustria</Company>
  <LinksUpToDate>false</LinksUpToDate>
  <CharactersWithSpaces>12068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acaporali</dc:creator>
  <cp:lastModifiedBy>massimo sabatini</cp:lastModifiedBy>
  <cp:revision>3</cp:revision>
  <cp:lastPrinted>2014-07-24T12:53:00Z</cp:lastPrinted>
  <dcterms:created xsi:type="dcterms:W3CDTF">2014-12-23T10:37:00Z</dcterms:created>
  <dcterms:modified xsi:type="dcterms:W3CDTF">2014-12-23T10:38:00Z</dcterms:modified>
</cp:coreProperties>
</file>