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6C0" w:rsidRPr="00F464F0" w:rsidRDefault="009156C0" w:rsidP="009156C0">
      <w:pPr>
        <w:spacing w:after="120"/>
        <w:rPr>
          <w:rFonts w:ascii="Helvetica" w:hAnsi="Helvetica"/>
        </w:rPr>
      </w:pPr>
      <w:r w:rsidRPr="00F464F0">
        <w:rPr>
          <w:rFonts w:ascii="Helvetica" w:hAnsi="Helvetica"/>
          <w:noProof/>
          <w:lang w:eastAsia="it-IT"/>
        </w:rPr>
        <w:drawing>
          <wp:inline distT="0" distB="0" distL="0" distR="0">
            <wp:extent cx="1294765" cy="753745"/>
            <wp:effectExtent l="19050" t="0" r="635" b="0"/>
            <wp:docPr id="50" name="Immagine 1" descr="C:\Users\CFortuna\AppData\Local\Temp\notesE1EF34\ML_280_E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CFortuna\AppData\Local\Temp\notesE1EF34\ML_280_EPI.jpg"/>
                    <pic:cNvPicPr>
                      <a:picLocks noChangeAspect="1" noChangeArrowheads="1"/>
                    </pic:cNvPicPr>
                  </pic:nvPicPr>
                  <pic:blipFill>
                    <a:blip r:embed="rId9" cstate="print"/>
                    <a:srcRect/>
                    <a:stretch>
                      <a:fillRect/>
                    </a:stretch>
                  </pic:blipFill>
                  <pic:spPr bwMode="auto">
                    <a:xfrm>
                      <a:off x="0" y="0"/>
                      <a:ext cx="1294765" cy="753745"/>
                    </a:xfrm>
                    <a:prstGeom prst="rect">
                      <a:avLst/>
                    </a:prstGeom>
                    <a:noFill/>
                    <a:ln w="9525">
                      <a:noFill/>
                      <a:miter lim="800000"/>
                      <a:headEnd/>
                      <a:tailEnd/>
                    </a:ln>
                  </pic:spPr>
                </pic:pic>
              </a:graphicData>
            </a:graphic>
          </wp:inline>
        </w:drawing>
      </w:r>
      <w:r w:rsidRPr="00F464F0">
        <w:rPr>
          <w:rFonts w:ascii="Helvetica" w:hAnsi="Helvetica"/>
          <w:noProof/>
          <w:lang w:eastAsia="it-IT"/>
        </w:rPr>
        <w:t xml:space="preserve">                   </w:t>
      </w:r>
      <w:r w:rsidRPr="00F464F0">
        <w:rPr>
          <w:rFonts w:ascii="Helvetica" w:hAnsi="Helvetica"/>
        </w:rPr>
        <w:tab/>
      </w:r>
      <w:r w:rsidRPr="00F464F0">
        <w:rPr>
          <w:rFonts w:ascii="Helvetica" w:hAnsi="Helvetica"/>
        </w:rPr>
        <w:tab/>
      </w:r>
      <w:r w:rsidRPr="00F464F0">
        <w:rPr>
          <w:rFonts w:ascii="Helvetica" w:hAnsi="Helvetica"/>
        </w:rPr>
        <w:tab/>
      </w:r>
      <w:r w:rsidRPr="00F464F0">
        <w:rPr>
          <w:rFonts w:ascii="Helvetica" w:hAnsi="Helvetica"/>
        </w:rPr>
        <w:tab/>
      </w:r>
      <w:r w:rsidRPr="00F464F0">
        <w:rPr>
          <w:rFonts w:ascii="Helvetica" w:hAnsi="Helvetica"/>
        </w:rPr>
        <w:tab/>
      </w:r>
      <w:r w:rsidRPr="00F464F0">
        <w:rPr>
          <w:rFonts w:ascii="Helvetica" w:hAnsi="Helvetica"/>
        </w:rPr>
        <w:tab/>
      </w:r>
      <w:r w:rsidRPr="00F464F0">
        <w:rPr>
          <w:rFonts w:ascii="Helvetica" w:hAnsi="Helvetica"/>
          <w:noProof/>
          <w:lang w:eastAsia="it-IT"/>
        </w:rPr>
        <w:drawing>
          <wp:inline distT="0" distB="0" distL="0" distR="0">
            <wp:extent cx="1514475" cy="614680"/>
            <wp:effectExtent l="19050" t="0" r="9525" b="0"/>
            <wp:docPr id="5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0" cstate="print"/>
                    <a:srcRect/>
                    <a:stretch>
                      <a:fillRect/>
                    </a:stretch>
                  </pic:blipFill>
                  <pic:spPr bwMode="auto">
                    <a:xfrm>
                      <a:off x="0" y="0"/>
                      <a:ext cx="1514475" cy="614680"/>
                    </a:xfrm>
                    <a:prstGeom prst="rect">
                      <a:avLst/>
                    </a:prstGeom>
                    <a:noFill/>
                    <a:ln w="9525">
                      <a:noFill/>
                      <a:miter lim="800000"/>
                      <a:headEnd/>
                      <a:tailEnd/>
                    </a:ln>
                  </pic:spPr>
                </pic:pic>
              </a:graphicData>
            </a:graphic>
          </wp:inline>
        </w:drawing>
      </w:r>
    </w:p>
    <w:p w:rsidR="009156C0" w:rsidRDefault="009156C0" w:rsidP="009156C0">
      <w:pPr>
        <w:spacing w:after="120"/>
        <w:rPr>
          <w:rFonts w:asciiTheme="minorHAnsi" w:hAnsiTheme="minorHAnsi"/>
          <w:b/>
          <w:color w:val="000000"/>
        </w:rPr>
      </w:pPr>
      <w:r w:rsidRPr="007F4FFE">
        <w:rPr>
          <w:rFonts w:asciiTheme="minorHAnsi" w:hAnsiTheme="minorHAnsi"/>
          <w:b/>
          <w:color w:val="000000"/>
        </w:rPr>
        <w:t>CONFINDUST</w:t>
      </w:r>
      <w:r w:rsidR="0070300A">
        <w:rPr>
          <w:rFonts w:asciiTheme="minorHAnsi" w:hAnsiTheme="minorHAnsi"/>
          <w:b/>
          <w:color w:val="000000"/>
        </w:rPr>
        <w:t>RIA-SRM - CHECK UP MEZZOGIORNO: Bene investimenti privati e turismo, il Mezzogiorno si muove.</w:t>
      </w:r>
    </w:p>
    <w:p w:rsidR="009156C0" w:rsidRDefault="009156C0" w:rsidP="009156C0">
      <w:pPr>
        <w:spacing w:after="120"/>
        <w:rPr>
          <w:rFonts w:asciiTheme="minorHAnsi" w:hAnsiTheme="minorHAnsi"/>
        </w:rPr>
      </w:pPr>
      <w:r>
        <w:rPr>
          <w:rFonts w:asciiTheme="minorHAnsi" w:hAnsiTheme="minorHAnsi"/>
        </w:rPr>
        <w:t xml:space="preserve">Il 2017 si chiude con un moderato ma costante miglioramento dell’economia meridionale. Lo conferma il </w:t>
      </w:r>
      <w:r w:rsidRPr="0047243F">
        <w:rPr>
          <w:rFonts w:asciiTheme="minorHAnsi" w:hAnsiTheme="minorHAnsi"/>
          <w:b/>
        </w:rPr>
        <w:t>Check Up Mezzogiorno di dicembre 2017</w:t>
      </w:r>
      <w:r w:rsidRPr="00712DCC">
        <w:rPr>
          <w:rFonts w:asciiTheme="minorHAnsi" w:hAnsiTheme="minorHAnsi"/>
        </w:rPr>
        <w:t xml:space="preserve">, il tradizionale studio elaborato da Confindustria e SRM, Studi e Ricerche per il Mezzogiorno (centro studi del Gruppo Intesa Sanpaolo), </w:t>
      </w:r>
    </w:p>
    <w:p w:rsidR="009156C0" w:rsidRPr="00712DCC" w:rsidRDefault="009156C0" w:rsidP="009156C0">
      <w:pPr>
        <w:spacing w:after="120"/>
        <w:rPr>
          <w:rFonts w:asciiTheme="minorHAnsi" w:hAnsiTheme="minorHAnsi"/>
        </w:rPr>
      </w:pPr>
      <w:r w:rsidRPr="007F4FFE">
        <w:rPr>
          <w:rFonts w:asciiTheme="minorHAnsi" w:hAnsiTheme="minorHAnsi"/>
        </w:rPr>
        <w:t>Dopo un 201</w:t>
      </w:r>
      <w:r>
        <w:rPr>
          <w:rFonts w:asciiTheme="minorHAnsi" w:hAnsiTheme="minorHAnsi"/>
        </w:rPr>
        <w:t>6</w:t>
      </w:r>
      <w:r w:rsidRPr="007F4FFE">
        <w:rPr>
          <w:rFonts w:asciiTheme="minorHAnsi" w:hAnsiTheme="minorHAnsi"/>
        </w:rPr>
        <w:t xml:space="preserve"> che ha visto crescere le regioni del Sud </w:t>
      </w:r>
      <w:r>
        <w:rPr>
          <w:rFonts w:asciiTheme="minorHAnsi" w:hAnsiTheme="minorHAnsi"/>
        </w:rPr>
        <w:t>in linea con la</w:t>
      </w:r>
      <w:r w:rsidRPr="007F4FFE">
        <w:rPr>
          <w:rFonts w:asciiTheme="minorHAnsi" w:hAnsiTheme="minorHAnsi"/>
        </w:rPr>
        <w:t xml:space="preserve"> media nazionale, le anticipazioni relative al 201</w:t>
      </w:r>
      <w:r>
        <w:rPr>
          <w:rFonts w:asciiTheme="minorHAnsi" w:hAnsiTheme="minorHAnsi"/>
        </w:rPr>
        <w:t>7</w:t>
      </w:r>
      <w:r w:rsidRPr="007F4FFE">
        <w:rPr>
          <w:rFonts w:asciiTheme="minorHAnsi" w:hAnsiTheme="minorHAnsi"/>
        </w:rPr>
        <w:t xml:space="preserve"> </w:t>
      </w:r>
      <w:r w:rsidRPr="00712DCC">
        <w:rPr>
          <w:rFonts w:asciiTheme="minorHAnsi" w:hAnsiTheme="minorHAnsi"/>
          <w:b/>
        </w:rPr>
        <w:t>confermano la tendenza alla crescita</w:t>
      </w:r>
      <w:r w:rsidRPr="007F4FFE">
        <w:rPr>
          <w:rFonts w:asciiTheme="minorHAnsi" w:hAnsiTheme="minorHAnsi"/>
        </w:rPr>
        <w:t xml:space="preserve">, che dovrebbe proseguire anche </w:t>
      </w:r>
      <w:r>
        <w:rPr>
          <w:rFonts w:asciiTheme="minorHAnsi" w:hAnsiTheme="minorHAnsi"/>
        </w:rPr>
        <w:t>nel</w:t>
      </w:r>
      <w:r w:rsidRPr="007F4FFE">
        <w:rPr>
          <w:rFonts w:asciiTheme="minorHAnsi" w:hAnsiTheme="minorHAnsi"/>
        </w:rPr>
        <w:t xml:space="preserve"> 201</w:t>
      </w:r>
      <w:r>
        <w:rPr>
          <w:rFonts w:asciiTheme="minorHAnsi" w:hAnsiTheme="minorHAnsi"/>
        </w:rPr>
        <w:t>8, con un incremento del PIL superiore all’1%</w:t>
      </w:r>
      <w:r w:rsidRPr="007F4FFE">
        <w:rPr>
          <w:rFonts w:asciiTheme="minorHAnsi" w:hAnsiTheme="minorHAnsi"/>
        </w:rPr>
        <w:t>.</w:t>
      </w:r>
      <w:r>
        <w:rPr>
          <w:rFonts w:asciiTheme="minorHAnsi" w:hAnsiTheme="minorHAnsi"/>
        </w:rPr>
        <w:t xml:space="preserve"> Gli indici di fiducia, non lontani dai massimi, confermano questa intonazione moderatamente positiva.</w:t>
      </w:r>
    </w:p>
    <w:p w:rsidR="009156C0" w:rsidRPr="00B21FD3" w:rsidRDefault="009156C0" w:rsidP="009156C0">
      <w:pPr>
        <w:spacing w:after="120"/>
        <w:rPr>
          <w:rFonts w:ascii="Arial" w:hAnsi="Arial" w:cs="Arial"/>
          <w:color w:val="000000" w:themeColor="text1"/>
          <w:sz w:val="24"/>
          <w:szCs w:val="24"/>
        </w:rPr>
      </w:pPr>
      <w:r>
        <w:rPr>
          <w:rFonts w:asciiTheme="minorHAnsi" w:hAnsiTheme="minorHAnsi"/>
        </w:rPr>
        <w:t>Questa</w:t>
      </w:r>
      <w:r w:rsidRPr="007F4FFE">
        <w:rPr>
          <w:rFonts w:asciiTheme="minorHAnsi" w:hAnsiTheme="minorHAnsi"/>
        </w:rPr>
        <w:t xml:space="preserve"> tendenza </w:t>
      </w:r>
      <w:r>
        <w:rPr>
          <w:rFonts w:asciiTheme="minorHAnsi" w:hAnsiTheme="minorHAnsi"/>
        </w:rPr>
        <w:t xml:space="preserve">è </w:t>
      </w:r>
      <w:r w:rsidRPr="007F4FFE">
        <w:rPr>
          <w:rFonts w:asciiTheme="minorHAnsi" w:hAnsiTheme="minorHAnsi"/>
        </w:rPr>
        <w:t xml:space="preserve">confermata </w:t>
      </w:r>
      <w:r w:rsidRPr="007F4FFE">
        <w:rPr>
          <w:rFonts w:asciiTheme="minorHAnsi" w:hAnsiTheme="minorHAnsi"/>
          <w:b/>
        </w:rPr>
        <w:t>dall’Indice Sintetico dell’Economia Meridionale</w:t>
      </w:r>
      <w:r w:rsidRPr="007F4FFE">
        <w:rPr>
          <w:rFonts w:asciiTheme="minorHAnsi" w:hAnsiTheme="minorHAnsi"/>
        </w:rPr>
        <w:t>, elaborato da Confindustria e SRM, che mostra tutti gli indicatori in crescita</w:t>
      </w:r>
      <w:r>
        <w:rPr>
          <w:rFonts w:asciiTheme="minorHAnsi" w:hAnsiTheme="minorHAnsi"/>
        </w:rPr>
        <w:t xml:space="preserve">. </w:t>
      </w:r>
      <w:r w:rsidR="002D1315">
        <w:rPr>
          <w:rFonts w:asciiTheme="minorHAnsi" w:hAnsiTheme="minorHAnsi"/>
          <w:b/>
        </w:rPr>
        <w:t>Il</w:t>
      </w:r>
      <w:r w:rsidRPr="0032029B">
        <w:rPr>
          <w:rFonts w:asciiTheme="minorHAnsi" w:hAnsiTheme="minorHAnsi"/>
          <w:b/>
        </w:rPr>
        <w:t xml:space="preserve"> PIL </w:t>
      </w:r>
      <w:r>
        <w:rPr>
          <w:rFonts w:asciiTheme="minorHAnsi" w:hAnsiTheme="minorHAnsi"/>
          <w:b/>
        </w:rPr>
        <w:t>del Mezzogiorno aumenta</w:t>
      </w:r>
      <w:r w:rsidRPr="0032029B">
        <w:rPr>
          <w:rFonts w:asciiTheme="minorHAnsi" w:hAnsiTheme="minorHAnsi"/>
          <w:b/>
        </w:rPr>
        <w:t xml:space="preserve"> per il secondo anno di seguito </w:t>
      </w:r>
      <w:r w:rsidRPr="00712DCC">
        <w:rPr>
          <w:rFonts w:asciiTheme="minorHAnsi" w:hAnsiTheme="minorHAnsi"/>
        </w:rPr>
        <w:t xml:space="preserve">(+1%,): anche gli </w:t>
      </w:r>
      <w:r w:rsidRPr="0047243F">
        <w:rPr>
          <w:rFonts w:asciiTheme="minorHAnsi" w:hAnsiTheme="minorHAnsi"/>
          <w:b/>
        </w:rPr>
        <w:t>investimenti</w:t>
      </w:r>
      <w:r w:rsidRPr="00712DCC">
        <w:rPr>
          <w:rFonts w:asciiTheme="minorHAnsi" w:hAnsiTheme="minorHAnsi"/>
        </w:rPr>
        <w:t xml:space="preserve"> tornano a crescere, spinti da quelli privati, e soprattutto da quelli dell’</w:t>
      </w:r>
      <w:r w:rsidRPr="0047243F">
        <w:rPr>
          <w:rFonts w:asciiTheme="minorHAnsi" w:hAnsiTheme="minorHAnsi"/>
          <w:b/>
        </w:rPr>
        <w:t>industria in senso stretto</w:t>
      </w:r>
      <w:r w:rsidRPr="00712DCC">
        <w:rPr>
          <w:rFonts w:asciiTheme="minorHAnsi" w:hAnsiTheme="minorHAnsi"/>
        </w:rPr>
        <w:t>, che nel solo ultimo anno fanno segnare un aumento del 40% rispetto all’anno precedente. Sebbene non ancora sufficiente per tornare ai valori del 2007, si tratta di un balzo in avanti davvero significativo.</w:t>
      </w:r>
    </w:p>
    <w:p w:rsidR="009156C0" w:rsidRPr="007F4FFE" w:rsidRDefault="009156C0" w:rsidP="009156C0">
      <w:pPr>
        <w:spacing w:after="120"/>
        <w:rPr>
          <w:rFonts w:asciiTheme="minorHAnsi" w:hAnsiTheme="minorHAnsi"/>
        </w:rPr>
      </w:pPr>
      <w:r>
        <w:rPr>
          <w:rFonts w:asciiTheme="minorHAnsi" w:hAnsiTheme="minorHAnsi"/>
        </w:rPr>
        <w:t>La ripartenza si conferma soprattutto nelle mani delle imprese</w:t>
      </w:r>
      <w:r w:rsidRPr="007F4FFE">
        <w:rPr>
          <w:rFonts w:asciiTheme="minorHAnsi" w:hAnsiTheme="minorHAnsi"/>
        </w:rPr>
        <w:t>: il</w:t>
      </w:r>
      <w:r w:rsidRPr="007F4FFE">
        <w:rPr>
          <w:rFonts w:asciiTheme="minorHAnsi" w:hAnsiTheme="minorHAnsi"/>
          <w:b/>
        </w:rPr>
        <w:t xml:space="preserve"> numero </w:t>
      </w:r>
      <w:r>
        <w:rPr>
          <w:rFonts w:asciiTheme="minorHAnsi" w:hAnsiTheme="minorHAnsi"/>
          <w:b/>
        </w:rPr>
        <w:t>di quelle</w:t>
      </w:r>
      <w:r w:rsidRPr="007F4FFE">
        <w:rPr>
          <w:rFonts w:asciiTheme="minorHAnsi" w:hAnsiTheme="minorHAnsi"/>
          <w:b/>
        </w:rPr>
        <w:t xml:space="preserve"> </w:t>
      </w:r>
      <w:r w:rsidRPr="007F2ABB">
        <w:rPr>
          <w:rFonts w:asciiTheme="minorHAnsi" w:hAnsiTheme="minorHAnsi"/>
          <w:b/>
        </w:rPr>
        <w:t>attive</w:t>
      </w:r>
      <w:r w:rsidRPr="007F4FFE">
        <w:rPr>
          <w:rFonts w:asciiTheme="minorHAnsi" w:hAnsiTheme="minorHAnsi"/>
        </w:rPr>
        <w:t>,</w:t>
      </w:r>
      <w:r w:rsidRPr="007F4FFE">
        <w:rPr>
          <w:rFonts w:asciiTheme="minorHAnsi" w:hAnsiTheme="minorHAnsi"/>
          <w:b/>
        </w:rPr>
        <w:t xml:space="preserve"> </w:t>
      </w:r>
      <w:r w:rsidRPr="00B919D9">
        <w:rPr>
          <w:rFonts w:asciiTheme="minorHAnsi" w:hAnsiTheme="minorHAnsi"/>
        </w:rPr>
        <w:t xml:space="preserve">nel </w:t>
      </w:r>
      <w:r>
        <w:rPr>
          <w:rFonts w:asciiTheme="minorHAnsi" w:hAnsiTheme="minorHAnsi"/>
        </w:rPr>
        <w:t>terzo trimestre del 2017</w:t>
      </w:r>
      <w:r w:rsidRPr="007F4FFE">
        <w:rPr>
          <w:rFonts w:asciiTheme="minorHAnsi" w:hAnsiTheme="minorHAnsi"/>
        </w:rPr>
        <w:t xml:space="preserve">, </w:t>
      </w:r>
      <w:r>
        <w:rPr>
          <w:rFonts w:asciiTheme="minorHAnsi" w:hAnsiTheme="minorHAnsi"/>
        </w:rPr>
        <w:t>è aumentato di circa 7</w:t>
      </w:r>
      <w:r w:rsidRPr="007F4FFE">
        <w:rPr>
          <w:rFonts w:asciiTheme="minorHAnsi" w:hAnsiTheme="minorHAnsi"/>
        </w:rPr>
        <w:t>mila unità (+0,</w:t>
      </w:r>
      <w:r>
        <w:rPr>
          <w:rFonts w:asciiTheme="minorHAnsi" w:hAnsiTheme="minorHAnsi"/>
        </w:rPr>
        <w:t>4</w:t>
      </w:r>
      <w:r w:rsidRPr="007F4FFE">
        <w:rPr>
          <w:rFonts w:asciiTheme="minorHAnsi" w:hAnsiTheme="minorHAnsi"/>
        </w:rPr>
        <w:t>%)</w:t>
      </w:r>
      <w:r>
        <w:rPr>
          <w:rFonts w:asciiTheme="minorHAnsi" w:hAnsiTheme="minorHAnsi"/>
        </w:rPr>
        <w:t xml:space="preserve"> rispetto allo stesso periodo del 2016, </w:t>
      </w:r>
      <w:r w:rsidRPr="007F4FFE">
        <w:rPr>
          <w:rFonts w:asciiTheme="minorHAnsi" w:hAnsiTheme="minorHAnsi"/>
        </w:rPr>
        <w:t>una tendenza ancor più significativa se confrontata con un contemporaneo calo nel resto del Paese (-0,</w:t>
      </w:r>
      <w:r>
        <w:rPr>
          <w:rFonts w:asciiTheme="minorHAnsi" w:hAnsiTheme="minorHAnsi"/>
        </w:rPr>
        <w:t>1</w:t>
      </w:r>
      <w:r w:rsidRPr="007F4FFE">
        <w:rPr>
          <w:rFonts w:asciiTheme="minorHAnsi" w:hAnsiTheme="minorHAnsi"/>
        </w:rPr>
        <w:t xml:space="preserve">%). In particolare, prosegue, </w:t>
      </w:r>
      <w:r w:rsidRPr="007F4FFE">
        <w:rPr>
          <w:rFonts w:asciiTheme="minorHAnsi" w:hAnsiTheme="minorHAnsi"/>
          <w:b/>
        </w:rPr>
        <w:t>l’aumento delle società di capitali</w:t>
      </w:r>
      <w:r w:rsidRPr="007F4FFE">
        <w:rPr>
          <w:rFonts w:asciiTheme="minorHAnsi" w:hAnsiTheme="minorHAnsi"/>
        </w:rPr>
        <w:t xml:space="preserve"> (+1</w:t>
      </w:r>
      <w:r>
        <w:rPr>
          <w:rFonts w:asciiTheme="minorHAnsi" w:hAnsiTheme="minorHAnsi"/>
        </w:rPr>
        <w:t xml:space="preserve">7 </w:t>
      </w:r>
      <w:r w:rsidRPr="007F4FFE">
        <w:rPr>
          <w:rFonts w:asciiTheme="minorHAnsi" w:hAnsiTheme="minorHAnsi"/>
        </w:rPr>
        <w:t>mila nel I</w:t>
      </w:r>
      <w:r>
        <w:rPr>
          <w:rFonts w:asciiTheme="minorHAnsi" w:hAnsiTheme="minorHAnsi"/>
        </w:rPr>
        <w:t>II</w:t>
      </w:r>
      <w:r w:rsidRPr="007F4FFE">
        <w:rPr>
          <w:rFonts w:asciiTheme="minorHAnsi" w:hAnsiTheme="minorHAnsi"/>
        </w:rPr>
        <w:t xml:space="preserve"> trimestre 2017 </w:t>
      </w:r>
      <w:r>
        <w:rPr>
          <w:rFonts w:asciiTheme="minorHAnsi" w:hAnsiTheme="minorHAnsi"/>
        </w:rPr>
        <w:t>su</w:t>
      </w:r>
      <w:r w:rsidRPr="007F4FFE">
        <w:rPr>
          <w:rFonts w:asciiTheme="minorHAnsi" w:hAnsiTheme="minorHAnsi"/>
        </w:rPr>
        <w:t xml:space="preserve">llo stesso periodo dello scorso anno), ad un ritmo </w:t>
      </w:r>
      <w:r>
        <w:rPr>
          <w:rFonts w:asciiTheme="minorHAnsi" w:hAnsiTheme="minorHAnsi"/>
        </w:rPr>
        <w:t xml:space="preserve">quasi </w:t>
      </w:r>
      <w:r w:rsidRPr="007F4FFE">
        <w:rPr>
          <w:rFonts w:asciiTheme="minorHAnsi" w:hAnsiTheme="minorHAnsi"/>
        </w:rPr>
        <w:t xml:space="preserve">doppio rispetto al Centro-Nord, </w:t>
      </w:r>
      <w:r>
        <w:rPr>
          <w:rFonts w:asciiTheme="minorHAnsi" w:hAnsiTheme="minorHAnsi"/>
        </w:rPr>
        <w:t xml:space="preserve">e al contempo torna ad </w:t>
      </w:r>
      <w:r>
        <w:rPr>
          <w:rFonts w:asciiTheme="minorHAnsi" w:hAnsiTheme="minorHAnsi"/>
          <w:b/>
        </w:rPr>
        <w:t>aumentare per la prima volta</w:t>
      </w:r>
      <w:r w:rsidRPr="007F2ABB">
        <w:rPr>
          <w:rFonts w:asciiTheme="minorHAnsi" w:hAnsiTheme="minorHAnsi"/>
          <w:b/>
        </w:rPr>
        <w:t xml:space="preserve"> la quota di imprese con numero di addetti fra </w:t>
      </w:r>
      <w:r>
        <w:rPr>
          <w:rFonts w:asciiTheme="minorHAnsi" w:hAnsiTheme="minorHAnsi"/>
          <w:b/>
        </w:rPr>
        <w:t>1</w:t>
      </w:r>
      <w:r w:rsidRPr="007F2ABB">
        <w:rPr>
          <w:rFonts w:asciiTheme="minorHAnsi" w:hAnsiTheme="minorHAnsi"/>
          <w:b/>
        </w:rPr>
        <w:t xml:space="preserve">0 e </w:t>
      </w:r>
      <w:r>
        <w:rPr>
          <w:rFonts w:asciiTheme="minorHAnsi" w:hAnsiTheme="minorHAnsi"/>
          <w:b/>
        </w:rPr>
        <w:t>4</w:t>
      </w:r>
      <w:r w:rsidRPr="007F2ABB">
        <w:rPr>
          <w:rFonts w:asciiTheme="minorHAnsi" w:hAnsiTheme="minorHAnsi"/>
          <w:b/>
        </w:rPr>
        <w:t>9</w:t>
      </w:r>
      <w:r>
        <w:rPr>
          <w:rFonts w:asciiTheme="minorHAnsi" w:hAnsiTheme="minorHAnsi"/>
          <w:b/>
        </w:rPr>
        <w:t xml:space="preserve"> (+0,2%)</w:t>
      </w:r>
      <w:r>
        <w:rPr>
          <w:rFonts w:asciiTheme="minorHAnsi" w:hAnsiTheme="minorHAnsi"/>
        </w:rPr>
        <w:t>, due chiari</w:t>
      </w:r>
      <w:r w:rsidRPr="007F4FFE">
        <w:rPr>
          <w:rFonts w:asciiTheme="minorHAnsi" w:hAnsiTheme="minorHAnsi"/>
        </w:rPr>
        <w:t xml:space="preserve"> segnal</w:t>
      </w:r>
      <w:r>
        <w:rPr>
          <w:rFonts w:asciiTheme="minorHAnsi" w:hAnsiTheme="minorHAnsi"/>
        </w:rPr>
        <w:t>i</w:t>
      </w:r>
      <w:r w:rsidRPr="007F4FFE">
        <w:rPr>
          <w:rFonts w:asciiTheme="minorHAnsi" w:hAnsiTheme="minorHAnsi"/>
        </w:rPr>
        <w:t xml:space="preserve"> di irrobustimento del tessuto produttivo. </w:t>
      </w:r>
    </w:p>
    <w:p w:rsidR="009156C0" w:rsidRDefault="009156C0" w:rsidP="009156C0">
      <w:pPr>
        <w:spacing w:after="120"/>
        <w:rPr>
          <w:rFonts w:asciiTheme="minorHAnsi" w:hAnsiTheme="minorHAnsi"/>
        </w:rPr>
      </w:pPr>
      <w:r>
        <w:rPr>
          <w:rFonts w:asciiTheme="minorHAnsi" w:hAnsiTheme="minorHAnsi"/>
        </w:rPr>
        <w:t xml:space="preserve">Un tessuto che rafforza la sua </w:t>
      </w:r>
      <w:r w:rsidRPr="007F2ABB">
        <w:rPr>
          <w:rFonts w:asciiTheme="minorHAnsi" w:hAnsiTheme="minorHAnsi"/>
          <w:b/>
        </w:rPr>
        <w:t>dinamicità</w:t>
      </w:r>
      <w:r>
        <w:rPr>
          <w:rFonts w:asciiTheme="minorHAnsi" w:hAnsiTheme="minorHAnsi"/>
        </w:rPr>
        <w:t>: aumenta il numer</w:t>
      </w:r>
      <w:r w:rsidRPr="007F4FFE">
        <w:rPr>
          <w:rFonts w:asciiTheme="minorHAnsi" w:hAnsiTheme="minorHAnsi"/>
        </w:rPr>
        <w:t xml:space="preserve">o delle </w:t>
      </w:r>
      <w:r w:rsidRPr="007F4FFE">
        <w:rPr>
          <w:rFonts w:asciiTheme="minorHAnsi" w:hAnsiTheme="minorHAnsi"/>
          <w:b/>
        </w:rPr>
        <w:t>start up innovative</w:t>
      </w:r>
      <w:r w:rsidRPr="007F4FFE">
        <w:rPr>
          <w:rFonts w:asciiTheme="minorHAnsi" w:hAnsiTheme="minorHAnsi"/>
        </w:rPr>
        <w:t xml:space="preserve"> </w:t>
      </w:r>
      <w:r>
        <w:rPr>
          <w:rFonts w:asciiTheme="minorHAnsi" w:hAnsiTheme="minorHAnsi"/>
        </w:rPr>
        <w:t>(il 31,1% in più</w:t>
      </w:r>
      <w:r w:rsidRPr="007F4FFE">
        <w:rPr>
          <w:rFonts w:asciiTheme="minorHAnsi" w:hAnsiTheme="minorHAnsi"/>
        </w:rPr>
        <w:t xml:space="preserve"> nel </w:t>
      </w:r>
      <w:r>
        <w:rPr>
          <w:rFonts w:asciiTheme="minorHAnsi" w:hAnsiTheme="minorHAnsi"/>
        </w:rPr>
        <w:t>I</w:t>
      </w:r>
      <w:r w:rsidRPr="007F4FFE">
        <w:rPr>
          <w:rFonts w:asciiTheme="minorHAnsi" w:hAnsiTheme="minorHAnsi"/>
        </w:rPr>
        <w:t>I trimestre del 2017 rispetto allo stesso periodo dell’anno precedente), un dato migliore di quello registrato al Centro-Nord (+2</w:t>
      </w:r>
      <w:r>
        <w:rPr>
          <w:rFonts w:asciiTheme="minorHAnsi" w:hAnsiTheme="minorHAnsi"/>
        </w:rPr>
        <w:t>2,4</w:t>
      </w:r>
      <w:r w:rsidRPr="007F4FFE">
        <w:rPr>
          <w:rFonts w:asciiTheme="minorHAnsi" w:hAnsiTheme="minorHAnsi"/>
        </w:rPr>
        <w:t xml:space="preserve">%), con un trend positivo che riguarda tutte le regioni del Mezzogiorno. Positivi sono anche i dati </w:t>
      </w:r>
      <w:r>
        <w:rPr>
          <w:rFonts w:asciiTheme="minorHAnsi" w:hAnsiTheme="minorHAnsi"/>
        </w:rPr>
        <w:t>relativi a</w:t>
      </w:r>
      <w:r w:rsidRPr="007F4FFE">
        <w:rPr>
          <w:rFonts w:asciiTheme="minorHAnsi" w:hAnsiTheme="minorHAnsi"/>
        </w:rPr>
        <w:t xml:space="preserve">lle </w:t>
      </w:r>
      <w:r w:rsidRPr="00084B34">
        <w:rPr>
          <w:rFonts w:asciiTheme="minorHAnsi" w:hAnsiTheme="minorHAnsi"/>
          <w:b/>
        </w:rPr>
        <w:t>imprese in rete</w:t>
      </w:r>
      <w:r w:rsidRPr="007F4FFE">
        <w:rPr>
          <w:rFonts w:asciiTheme="minorHAnsi" w:hAnsiTheme="minorHAnsi"/>
        </w:rPr>
        <w:t xml:space="preserve"> (</w:t>
      </w:r>
      <w:r>
        <w:rPr>
          <w:rFonts w:asciiTheme="minorHAnsi" w:hAnsiTheme="minorHAnsi"/>
        </w:rPr>
        <w:t xml:space="preserve">ormai quasi 6.000, </w:t>
      </w:r>
      <w:r w:rsidRPr="007F4FFE">
        <w:rPr>
          <w:rFonts w:asciiTheme="minorHAnsi" w:hAnsiTheme="minorHAnsi"/>
        </w:rPr>
        <w:t xml:space="preserve">1.000 in più </w:t>
      </w:r>
      <w:r>
        <w:rPr>
          <w:rFonts w:asciiTheme="minorHAnsi" w:hAnsiTheme="minorHAnsi"/>
        </w:rPr>
        <w:t>nella seconda parte dell’anno), a</w:t>
      </w:r>
      <w:r w:rsidRPr="00084B34">
        <w:rPr>
          <w:rFonts w:asciiTheme="minorHAnsi" w:hAnsiTheme="minorHAnsi"/>
        </w:rPr>
        <w:t xml:space="preserve">lle </w:t>
      </w:r>
      <w:r w:rsidRPr="00084B34">
        <w:rPr>
          <w:rFonts w:asciiTheme="minorHAnsi" w:hAnsiTheme="minorHAnsi"/>
          <w:b/>
        </w:rPr>
        <w:t xml:space="preserve">imprese giovanili </w:t>
      </w:r>
      <w:r w:rsidRPr="00084B34">
        <w:rPr>
          <w:rFonts w:asciiTheme="minorHAnsi" w:hAnsiTheme="minorHAnsi"/>
        </w:rPr>
        <w:t xml:space="preserve">(oltre 252.000 nel 2016, il 41,5% del totale nazionale) e </w:t>
      </w:r>
      <w:r>
        <w:rPr>
          <w:rFonts w:asciiTheme="minorHAnsi" w:hAnsiTheme="minorHAnsi"/>
        </w:rPr>
        <w:t xml:space="preserve">a </w:t>
      </w:r>
      <w:r w:rsidRPr="00084B34">
        <w:rPr>
          <w:rFonts w:asciiTheme="minorHAnsi" w:hAnsiTheme="minorHAnsi"/>
        </w:rPr>
        <w:t xml:space="preserve">quelle </w:t>
      </w:r>
      <w:r w:rsidRPr="00084B34">
        <w:rPr>
          <w:rFonts w:asciiTheme="minorHAnsi" w:hAnsiTheme="minorHAnsi"/>
          <w:b/>
        </w:rPr>
        <w:t xml:space="preserve">femminili </w:t>
      </w:r>
      <w:r w:rsidRPr="00084B34">
        <w:rPr>
          <w:rFonts w:asciiTheme="minorHAnsi" w:hAnsiTheme="minorHAnsi"/>
        </w:rPr>
        <w:t>(oltre 3.000 in più nel solo II trimestre 2017).</w:t>
      </w:r>
    </w:p>
    <w:p w:rsidR="009156C0" w:rsidRPr="008D5376" w:rsidRDefault="009156C0" w:rsidP="009156C0">
      <w:pPr>
        <w:spacing w:after="120"/>
        <w:rPr>
          <w:rFonts w:asciiTheme="minorHAnsi" w:hAnsiTheme="minorHAnsi"/>
        </w:rPr>
      </w:pPr>
      <w:r w:rsidRPr="008D5376">
        <w:rPr>
          <w:rFonts w:asciiTheme="minorHAnsi" w:hAnsiTheme="minorHAnsi"/>
        </w:rPr>
        <w:t xml:space="preserve">Un robusto contributo ai segnali di vitalità del sistema produttivo del Sud viene anche </w:t>
      </w:r>
      <w:r>
        <w:rPr>
          <w:rFonts w:asciiTheme="minorHAnsi" w:hAnsiTheme="minorHAnsi"/>
          <w:b/>
        </w:rPr>
        <w:t>da</w:t>
      </w:r>
      <w:r w:rsidRPr="008D5376">
        <w:rPr>
          <w:rFonts w:asciiTheme="minorHAnsi" w:hAnsiTheme="minorHAnsi"/>
          <w:b/>
        </w:rPr>
        <w:t>ll’export</w:t>
      </w:r>
      <w:r w:rsidRPr="008D5376">
        <w:rPr>
          <w:rFonts w:asciiTheme="minorHAnsi" w:hAnsiTheme="minorHAnsi"/>
        </w:rPr>
        <w:t xml:space="preserve">: rispetto al III trimestre dell’anno precedente, le esportazioni delle imprese del Mezzogiorno crescono dell’8,6%, ad un ritmo superiore a quello del Centro-Nord (+7,2%). Ad eccezione dei mezzi di trasporto e degli apparecchi elettrici, crescono le esportazioni di tutti i settori merceologici, con particolare intensità nel caso dei prodotti della raffinazione (+42,9%), dei prodotti chimici (+21,6%) e di quelli farmaceutici (+9,4%). </w:t>
      </w:r>
    </w:p>
    <w:p w:rsidR="009156C0" w:rsidRDefault="009156C0" w:rsidP="009156C0">
      <w:pPr>
        <w:spacing w:after="120"/>
        <w:rPr>
          <w:rFonts w:asciiTheme="minorHAnsi" w:hAnsiTheme="minorHAnsi"/>
        </w:rPr>
      </w:pPr>
      <w:r>
        <w:rPr>
          <w:rFonts w:asciiTheme="minorHAnsi" w:hAnsiTheme="minorHAnsi"/>
        </w:rPr>
        <w:t>Un significativo apporto ai positivi risultati del tessuto imprenditoriale meridionale viene dal</w:t>
      </w:r>
      <w:r w:rsidRPr="007F4FFE">
        <w:rPr>
          <w:rFonts w:asciiTheme="minorHAnsi" w:hAnsiTheme="minorHAnsi"/>
          <w:b/>
        </w:rPr>
        <w:t xml:space="preserve"> settore </w:t>
      </w:r>
      <w:r>
        <w:rPr>
          <w:rFonts w:asciiTheme="minorHAnsi" w:hAnsiTheme="minorHAnsi"/>
          <w:b/>
        </w:rPr>
        <w:t>turistico</w:t>
      </w:r>
      <w:r w:rsidRPr="007F4FFE">
        <w:rPr>
          <w:rFonts w:asciiTheme="minorHAnsi" w:hAnsiTheme="minorHAnsi"/>
          <w:b/>
        </w:rPr>
        <w:t xml:space="preserve">, </w:t>
      </w:r>
      <w:r w:rsidRPr="007F4FFE">
        <w:rPr>
          <w:rFonts w:asciiTheme="minorHAnsi" w:hAnsiTheme="minorHAnsi"/>
        </w:rPr>
        <w:t>a cui il Check up dedica uno specifico approfondimento</w:t>
      </w:r>
      <w:r>
        <w:rPr>
          <w:rFonts w:asciiTheme="minorHAnsi" w:hAnsiTheme="minorHAnsi"/>
        </w:rPr>
        <w:t xml:space="preserve">. </w:t>
      </w:r>
      <w:r w:rsidRPr="008D5376">
        <w:rPr>
          <w:rFonts w:asciiTheme="minorHAnsi" w:hAnsiTheme="minorHAnsi"/>
        </w:rPr>
        <w:t xml:space="preserve">Il 2016 ha visto, infatti, crescere arrivi e presenze </w:t>
      </w:r>
      <w:r>
        <w:rPr>
          <w:rFonts w:asciiTheme="minorHAnsi" w:hAnsiTheme="minorHAnsi"/>
        </w:rPr>
        <w:t xml:space="preserve">dei turisti </w:t>
      </w:r>
      <w:r w:rsidRPr="008D5376">
        <w:rPr>
          <w:rFonts w:asciiTheme="minorHAnsi" w:hAnsiTheme="minorHAnsi"/>
        </w:rPr>
        <w:t xml:space="preserve">nelle regioni meridionali (+4,3%, 1 punto e mezzo in più del Centro-Nord). </w:t>
      </w:r>
      <w:r>
        <w:rPr>
          <w:rFonts w:asciiTheme="minorHAnsi" w:hAnsiTheme="minorHAnsi"/>
        </w:rPr>
        <w:t>Aumenta</w:t>
      </w:r>
      <w:r w:rsidRPr="008D5376">
        <w:rPr>
          <w:rFonts w:asciiTheme="minorHAnsi" w:hAnsiTheme="minorHAnsi"/>
        </w:rPr>
        <w:t xml:space="preserve"> in particolare il cosiddetto “</w:t>
      </w:r>
      <w:r w:rsidRPr="0047243F">
        <w:rPr>
          <w:rFonts w:asciiTheme="minorHAnsi" w:hAnsiTheme="minorHAnsi"/>
          <w:b/>
        </w:rPr>
        <w:t>export turistico</w:t>
      </w:r>
      <w:r w:rsidRPr="008D5376">
        <w:rPr>
          <w:rFonts w:asciiTheme="minorHAnsi" w:hAnsiTheme="minorHAnsi"/>
        </w:rPr>
        <w:t>”, ovvero le presenze (+7,8%), e la spesa (+24%) dei turisti stranieri</w:t>
      </w:r>
      <w:r>
        <w:rPr>
          <w:rFonts w:asciiTheme="minorHAnsi" w:hAnsiTheme="minorHAnsi"/>
        </w:rPr>
        <w:t xml:space="preserve">. </w:t>
      </w:r>
      <w:r w:rsidRPr="008D5376">
        <w:rPr>
          <w:rFonts w:asciiTheme="minorHAnsi" w:hAnsiTheme="minorHAnsi"/>
        </w:rPr>
        <w:t xml:space="preserve">Alla base di questi risultati positivi ci sono le </w:t>
      </w:r>
      <w:r w:rsidRPr="001F66AC">
        <w:rPr>
          <w:rFonts w:asciiTheme="minorHAnsi" w:hAnsiTheme="minorHAnsi"/>
          <w:b/>
        </w:rPr>
        <w:t>imprese turistiche meridionali</w:t>
      </w:r>
      <w:r>
        <w:rPr>
          <w:rFonts w:asciiTheme="minorHAnsi" w:hAnsiTheme="minorHAnsi"/>
        </w:rPr>
        <w:t xml:space="preserve"> </w:t>
      </w:r>
      <w:r w:rsidRPr="008D5376">
        <w:rPr>
          <w:rFonts w:asciiTheme="minorHAnsi" w:hAnsiTheme="minorHAnsi"/>
        </w:rPr>
        <w:t>che</w:t>
      </w:r>
      <w:r>
        <w:rPr>
          <w:rFonts w:asciiTheme="minorHAnsi" w:hAnsiTheme="minorHAnsi"/>
        </w:rPr>
        <w:t>, pur</w:t>
      </w:r>
      <w:r w:rsidRPr="008D5376">
        <w:rPr>
          <w:rFonts w:asciiTheme="minorHAnsi" w:hAnsiTheme="minorHAnsi"/>
        </w:rPr>
        <w:t xml:space="preserve"> rappresentan</w:t>
      </w:r>
      <w:r>
        <w:rPr>
          <w:rFonts w:asciiTheme="minorHAnsi" w:hAnsiTheme="minorHAnsi"/>
        </w:rPr>
        <w:t>do solamente</w:t>
      </w:r>
      <w:r w:rsidRPr="008D5376">
        <w:rPr>
          <w:rFonts w:asciiTheme="minorHAnsi" w:hAnsiTheme="minorHAnsi"/>
        </w:rPr>
        <w:t xml:space="preserve"> il 25% del totale nazionale </w:t>
      </w:r>
      <w:r>
        <w:rPr>
          <w:rFonts w:asciiTheme="minorHAnsi" w:hAnsiTheme="minorHAnsi"/>
        </w:rPr>
        <w:t>(</w:t>
      </w:r>
      <w:r w:rsidRPr="008D5376">
        <w:rPr>
          <w:rFonts w:asciiTheme="minorHAnsi" w:hAnsiTheme="minorHAnsi"/>
        </w:rPr>
        <w:t>il 20% delle imprese ricettive italiane</w:t>
      </w:r>
      <w:r>
        <w:rPr>
          <w:rFonts w:asciiTheme="minorHAnsi" w:hAnsiTheme="minorHAnsi"/>
        </w:rPr>
        <w:t>), costituiscono un</w:t>
      </w:r>
      <w:r w:rsidRPr="008D5376">
        <w:rPr>
          <w:rFonts w:asciiTheme="minorHAnsi" w:hAnsiTheme="minorHAnsi"/>
        </w:rPr>
        <w:t xml:space="preserve"> comparto dai fondamentali solidi, con oltre 70 mila occupati e due miliardi e mezzo di valore aggiunto</w:t>
      </w:r>
      <w:r>
        <w:rPr>
          <w:rFonts w:asciiTheme="minorHAnsi" w:hAnsiTheme="minorHAnsi"/>
        </w:rPr>
        <w:t>,</w:t>
      </w:r>
      <w:r w:rsidRPr="008D5376">
        <w:rPr>
          <w:rFonts w:asciiTheme="minorHAnsi" w:hAnsiTheme="minorHAnsi"/>
        </w:rPr>
        <w:t xml:space="preserve"> </w:t>
      </w:r>
      <w:r>
        <w:rPr>
          <w:rFonts w:asciiTheme="minorHAnsi" w:hAnsiTheme="minorHAnsi"/>
        </w:rPr>
        <w:t xml:space="preserve">che vede migliorare, </w:t>
      </w:r>
      <w:r w:rsidRPr="008D5376">
        <w:rPr>
          <w:rFonts w:asciiTheme="minorHAnsi" w:hAnsiTheme="minorHAnsi"/>
        </w:rPr>
        <w:t>in maniera costante a partire dal 2012</w:t>
      </w:r>
      <w:r>
        <w:rPr>
          <w:rFonts w:asciiTheme="minorHAnsi" w:hAnsiTheme="minorHAnsi"/>
        </w:rPr>
        <w:t xml:space="preserve"> </w:t>
      </w:r>
      <w:r w:rsidRPr="008D5376">
        <w:rPr>
          <w:rFonts w:asciiTheme="minorHAnsi" w:hAnsiTheme="minorHAnsi"/>
        </w:rPr>
        <w:t xml:space="preserve">la redditività </w:t>
      </w:r>
      <w:r>
        <w:rPr>
          <w:rFonts w:asciiTheme="minorHAnsi" w:hAnsiTheme="minorHAnsi"/>
        </w:rPr>
        <w:t>mentr</w:t>
      </w:r>
      <w:r w:rsidRPr="008D5376">
        <w:rPr>
          <w:rFonts w:asciiTheme="minorHAnsi" w:hAnsiTheme="minorHAnsi"/>
        </w:rPr>
        <w:t xml:space="preserve">e calano l’indebitamento e i conseguenti oneri finanziari. Un settore con un’offerta qualitativamente elevata (gli hotel del segmento 4 – 5 stelle sono quasi il doppio della media nazionale) e caratterizzato da nicchie importanti, come </w:t>
      </w:r>
      <w:r w:rsidRPr="001F66AC">
        <w:rPr>
          <w:rFonts w:asciiTheme="minorHAnsi" w:hAnsiTheme="minorHAnsi"/>
          <w:b/>
        </w:rPr>
        <w:t>l’industria termale</w:t>
      </w:r>
      <w:r w:rsidRPr="008D5376">
        <w:rPr>
          <w:rFonts w:asciiTheme="minorHAnsi" w:hAnsiTheme="minorHAnsi"/>
        </w:rPr>
        <w:t xml:space="preserve">, </w:t>
      </w:r>
      <w:r>
        <w:rPr>
          <w:rFonts w:asciiTheme="minorHAnsi" w:hAnsiTheme="minorHAnsi"/>
        </w:rPr>
        <w:t xml:space="preserve">che può vantare </w:t>
      </w:r>
      <w:r w:rsidRPr="008D5376">
        <w:rPr>
          <w:rFonts w:asciiTheme="minorHAnsi" w:hAnsiTheme="minorHAnsi"/>
        </w:rPr>
        <w:t>¼ dei ricavi di tutta l’industria termale nazionale.</w:t>
      </w:r>
    </w:p>
    <w:p w:rsidR="009156C0" w:rsidRPr="00B36857" w:rsidRDefault="009156C0" w:rsidP="009156C0">
      <w:pPr>
        <w:spacing w:after="120"/>
        <w:rPr>
          <w:rFonts w:asciiTheme="minorHAnsi" w:hAnsiTheme="minorHAnsi"/>
        </w:rPr>
      </w:pPr>
      <w:r>
        <w:rPr>
          <w:rFonts w:asciiTheme="minorHAnsi" w:hAnsiTheme="minorHAnsi"/>
        </w:rPr>
        <w:t>Il 2017 si conferma un anno moderatamente positivo sul fronte dell’</w:t>
      </w:r>
      <w:r w:rsidRPr="006B68D7">
        <w:rPr>
          <w:rFonts w:asciiTheme="minorHAnsi" w:hAnsiTheme="minorHAnsi"/>
          <w:b/>
        </w:rPr>
        <w:t>occupazione</w:t>
      </w:r>
      <w:r>
        <w:rPr>
          <w:rFonts w:asciiTheme="minorHAnsi" w:hAnsiTheme="minorHAnsi"/>
        </w:rPr>
        <w:t xml:space="preserve">: anche </w:t>
      </w:r>
      <w:r w:rsidRPr="00B36857">
        <w:rPr>
          <w:rFonts w:asciiTheme="minorHAnsi" w:hAnsiTheme="minorHAnsi"/>
        </w:rPr>
        <w:t>grazie al sostegno del Bonus occupazione</w:t>
      </w:r>
      <w:r>
        <w:rPr>
          <w:rFonts w:asciiTheme="minorHAnsi" w:hAnsiTheme="minorHAnsi"/>
        </w:rPr>
        <w:t>, nel Mezzogiorno si sono registrati</w:t>
      </w:r>
      <w:r w:rsidRPr="00B36857">
        <w:rPr>
          <w:rFonts w:asciiTheme="minorHAnsi" w:hAnsiTheme="minorHAnsi"/>
        </w:rPr>
        <w:t xml:space="preserve"> incrementi percentuali degli occupati superiori a quelli del Centro-Nord, con una crescita, in valore assoluto, di oltre 108 mila unità nel III trimestre 2017 rispetto allo stesso periodo dell’anno precedente. Tuttavia, pur essendo abbondantemente tornati sopra la soglia dei 6 milioni, gli occupati meridionali sono ancora 230 mila in meno rispetto al picco </w:t>
      </w:r>
      <w:proofErr w:type="spellStart"/>
      <w:r w:rsidRPr="00B36857">
        <w:rPr>
          <w:rFonts w:asciiTheme="minorHAnsi" w:hAnsiTheme="minorHAnsi"/>
        </w:rPr>
        <w:t>precrisi</w:t>
      </w:r>
      <w:proofErr w:type="spellEnd"/>
      <w:r w:rsidRPr="00B36857">
        <w:rPr>
          <w:rFonts w:asciiTheme="minorHAnsi" w:hAnsiTheme="minorHAnsi"/>
        </w:rPr>
        <w:t>.</w:t>
      </w:r>
    </w:p>
    <w:p w:rsidR="009156C0" w:rsidRDefault="009156C0" w:rsidP="009156C0">
      <w:pPr>
        <w:spacing w:after="120"/>
        <w:rPr>
          <w:rFonts w:asciiTheme="minorHAnsi" w:hAnsiTheme="minorHAnsi"/>
        </w:rPr>
      </w:pPr>
      <w:r w:rsidRPr="006B68D7">
        <w:rPr>
          <w:rFonts w:asciiTheme="minorHAnsi" w:hAnsiTheme="minorHAnsi"/>
        </w:rPr>
        <w:t xml:space="preserve">La </w:t>
      </w:r>
      <w:r w:rsidRPr="006B68D7">
        <w:rPr>
          <w:rFonts w:asciiTheme="minorHAnsi" w:hAnsiTheme="minorHAnsi"/>
          <w:b/>
        </w:rPr>
        <w:t>qualità e l’efficacia del sistema formativo al Sud</w:t>
      </w:r>
      <w:r w:rsidRPr="006B68D7">
        <w:rPr>
          <w:rFonts w:asciiTheme="minorHAnsi" w:hAnsiTheme="minorHAnsi"/>
        </w:rPr>
        <w:t xml:space="preserve"> rimane</w:t>
      </w:r>
      <w:r>
        <w:rPr>
          <w:rFonts w:asciiTheme="minorHAnsi" w:hAnsiTheme="minorHAnsi"/>
        </w:rPr>
        <w:t xml:space="preserve">, però, </w:t>
      </w:r>
      <w:r w:rsidRPr="006B68D7">
        <w:rPr>
          <w:rFonts w:asciiTheme="minorHAnsi" w:hAnsiTheme="minorHAnsi"/>
        </w:rPr>
        <w:t xml:space="preserve">uno dei fattori </w:t>
      </w:r>
      <w:r>
        <w:rPr>
          <w:rFonts w:asciiTheme="minorHAnsi" w:hAnsiTheme="minorHAnsi"/>
        </w:rPr>
        <w:t>critici</w:t>
      </w:r>
      <w:r w:rsidRPr="006B68D7">
        <w:rPr>
          <w:rFonts w:asciiTheme="minorHAnsi" w:hAnsiTheme="minorHAnsi"/>
        </w:rPr>
        <w:t>. E’</w:t>
      </w:r>
      <w:r>
        <w:rPr>
          <w:rFonts w:asciiTheme="minorHAnsi" w:hAnsiTheme="minorHAnsi"/>
        </w:rPr>
        <w:t>, infatti,</w:t>
      </w:r>
      <w:r w:rsidRPr="006B68D7">
        <w:rPr>
          <w:rFonts w:asciiTheme="minorHAnsi" w:hAnsiTheme="minorHAnsi"/>
        </w:rPr>
        <w:t xml:space="preserve"> ancora molto elevata la quota di giovani meridionali che non studiano e non lavorano (sono oltre 1 milione e 800 mila</w:t>
      </w:r>
      <w:r>
        <w:rPr>
          <w:rFonts w:asciiTheme="minorHAnsi" w:hAnsiTheme="minorHAnsi"/>
        </w:rPr>
        <w:t>,</w:t>
      </w:r>
      <w:r w:rsidRPr="006B68D7">
        <w:rPr>
          <w:rFonts w:asciiTheme="minorHAnsi" w:hAnsiTheme="minorHAnsi"/>
        </w:rPr>
        <w:t xml:space="preserve"> quasi il 60% del totale nazionale</w:t>
      </w:r>
      <w:r>
        <w:rPr>
          <w:rFonts w:asciiTheme="minorHAnsi" w:hAnsiTheme="minorHAnsi"/>
        </w:rPr>
        <w:t>)</w:t>
      </w:r>
      <w:r w:rsidRPr="006B68D7">
        <w:rPr>
          <w:rFonts w:asciiTheme="minorHAnsi" w:hAnsiTheme="minorHAnsi"/>
        </w:rPr>
        <w:t xml:space="preserve"> </w:t>
      </w:r>
      <w:r>
        <w:rPr>
          <w:rFonts w:asciiTheme="minorHAnsi" w:hAnsiTheme="minorHAnsi"/>
        </w:rPr>
        <w:t xml:space="preserve">e </w:t>
      </w:r>
      <w:r w:rsidRPr="006B68D7">
        <w:rPr>
          <w:rFonts w:asciiTheme="minorHAnsi" w:hAnsiTheme="minorHAnsi"/>
        </w:rPr>
        <w:t xml:space="preserve">ben 200 mila hanno un diploma di laurea, con </w:t>
      </w:r>
      <w:r>
        <w:rPr>
          <w:rFonts w:asciiTheme="minorHAnsi" w:hAnsiTheme="minorHAnsi"/>
        </w:rPr>
        <w:t xml:space="preserve">un vero e proprio </w:t>
      </w:r>
      <w:r w:rsidRPr="006B68D7">
        <w:rPr>
          <w:rFonts w:asciiTheme="minorHAnsi" w:hAnsiTheme="minorHAnsi"/>
        </w:rPr>
        <w:t xml:space="preserve"> spreco di investimento formativo</w:t>
      </w:r>
      <w:r>
        <w:rPr>
          <w:rFonts w:asciiTheme="minorHAnsi" w:hAnsiTheme="minorHAnsi"/>
        </w:rPr>
        <w:t xml:space="preserve">. Cosicché torna a ampliarsi il divario tra chi prende la residenza al Sud e chi la abbandona, con un saldo negativo </w:t>
      </w:r>
      <w:r w:rsidRPr="00876283">
        <w:rPr>
          <w:rFonts w:asciiTheme="minorHAnsi" w:hAnsiTheme="minorHAnsi"/>
        </w:rPr>
        <w:t>di</w:t>
      </w:r>
      <w:r>
        <w:rPr>
          <w:rFonts w:asciiTheme="minorHAnsi" w:hAnsiTheme="minorHAnsi"/>
        </w:rPr>
        <w:t xml:space="preserve"> oltre 62 mila unità.</w:t>
      </w:r>
      <w:r w:rsidRPr="006B68D7">
        <w:rPr>
          <w:rFonts w:asciiTheme="minorHAnsi" w:hAnsiTheme="minorHAnsi"/>
        </w:rPr>
        <w:t xml:space="preserve"> </w:t>
      </w:r>
    </w:p>
    <w:p w:rsidR="009156C0" w:rsidRPr="006E1A38" w:rsidRDefault="009156C0" w:rsidP="009156C0">
      <w:pPr>
        <w:spacing w:after="120"/>
        <w:rPr>
          <w:rFonts w:asciiTheme="minorHAnsi" w:hAnsiTheme="minorHAnsi"/>
        </w:rPr>
      </w:pPr>
      <w:r w:rsidRPr="006E1A38">
        <w:rPr>
          <w:rFonts w:asciiTheme="minorHAnsi" w:hAnsiTheme="minorHAnsi"/>
        </w:rPr>
        <w:t xml:space="preserve">Diminuisce, </w:t>
      </w:r>
      <w:r>
        <w:rPr>
          <w:rFonts w:asciiTheme="minorHAnsi" w:hAnsiTheme="minorHAnsi"/>
        </w:rPr>
        <w:t xml:space="preserve">seppur </w:t>
      </w:r>
      <w:r w:rsidRPr="006E1A38">
        <w:rPr>
          <w:rFonts w:asciiTheme="minorHAnsi" w:hAnsiTheme="minorHAnsi"/>
        </w:rPr>
        <w:t xml:space="preserve">lentamente, </w:t>
      </w:r>
      <w:r w:rsidRPr="00DB1641">
        <w:rPr>
          <w:rFonts w:asciiTheme="minorHAnsi" w:hAnsiTheme="minorHAnsi"/>
          <w:b/>
        </w:rPr>
        <w:t>l’incidenza della povertà</w:t>
      </w:r>
      <w:r w:rsidRPr="006E1A38">
        <w:rPr>
          <w:rFonts w:asciiTheme="minorHAnsi" w:hAnsiTheme="minorHAnsi"/>
        </w:rPr>
        <w:t>, tranne che per la classe di età tra i 35 e 44 anni, fenomeno che segnala la crescente difficoltà di trovare lavoro per chi non è più giovanissimo ma è ancora lontano dall’età del pensionamento</w:t>
      </w:r>
      <w:r>
        <w:rPr>
          <w:rFonts w:asciiTheme="minorHAnsi" w:hAnsiTheme="minorHAnsi"/>
        </w:rPr>
        <w:t>. L</w:t>
      </w:r>
      <w:r w:rsidRPr="006E1A38">
        <w:rPr>
          <w:rFonts w:asciiTheme="minorHAnsi" w:hAnsiTheme="minorHAnsi"/>
        </w:rPr>
        <w:t>a percentuale dei cittadini meridionali che si dichiarano molto o abbastanza soddisfatti della propria situazione economica è in crescita (+2%), ma resta pur sempre di 11 punti inferiore alla media nazionale.</w:t>
      </w:r>
    </w:p>
    <w:p w:rsidR="009156C0" w:rsidRDefault="009156C0" w:rsidP="009156C0">
      <w:pPr>
        <w:spacing w:after="120"/>
        <w:rPr>
          <w:rFonts w:asciiTheme="minorHAnsi" w:hAnsiTheme="minorHAnsi"/>
        </w:rPr>
      </w:pPr>
      <w:r w:rsidRPr="006E1A38">
        <w:rPr>
          <w:rFonts w:asciiTheme="minorHAnsi" w:hAnsiTheme="minorHAnsi"/>
        </w:rPr>
        <w:t xml:space="preserve">La </w:t>
      </w:r>
      <w:r w:rsidRPr="00DB1641">
        <w:rPr>
          <w:rFonts w:asciiTheme="minorHAnsi" w:hAnsiTheme="minorHAnsi"/>
          <w:b/>
        </w:rPr>
        <w:t>situazione economica</w:t>
      </w:r>
      <w:r w:rsidRPr="006E1A38">
        <w:rPr>
          <w:rFonts w:asciiTheme="minorHAnsi" w:hAnsiTheme="minorHAnsi"/>
        </w:rPr>
        <w:t xml:space="preserve"> delle regioni meridionali sembra</w:t>
      </w:r>
      <w:r>
        <w:rPr>
          <w:rFonts w:asciiTheme="minorHAnsi" w:hAnsiTheme="minorHAnsi"/>
        </w:rPr>
        <w:t>,</w:t>
      </w:r>
      <w:r w:rsidRPr="006E1A38">
        <w:rPr>
          <w:rFonts w:asciiTheme="minorHAnsi" w:hAnsiTheme="minorHAnsi"/>
        </w:rPr>
        <w:t xml:space="preserve"> dunque</w:t>
      </w:r>
      <w:r>
        <w:rPr>
          <w:rFonts w:asciiTheme="minorHAnsi" w:hAnsiTheme="minorHAnsi"/>
        </w:rPr>
        <w:t>,</w:t>
      </w:r>
      <w:r w:rsidRPr="006E1A38">
        <w:rPr>
          <w:rFonts w:asciiTheme="minorHAnsi" w:hAnsiTheme="minorHAnsi"/>
        </w:rPr>
        <w:t xml:space="preserve"> essersi assestata su condizioni di nuova normalità</w:t>
      </w:r>
      <w:r>
        <w:rPr>
          <w:rFonts w:asciiTheme="minorHAnsi" w:hAnsiTheme="minorHAnsi"/>
        </w:rPr>
        <w:t xml:space="preserve"> e di moderato miglioramento, </w:t>
      </w:r>
      <w:r w:rsidRPr="006E1A38">
        <w:rPr>
          <w:rFonts w:asciiTheme="minorHAnsi" w:hAnsiTheme="minorHAnsi"/>
        </w:rPr>
        <w:t xml:space="preserve">che, tuttavia, non </w:t>
      </w:r>
      <w:r>
        <w:rPr>
          <w:rFonts w:asciiTheme="minorHAnsi" w:hAnsiTheme="minorHAnsi"/>
        </w:rPr>
        <w:t>sono</w:t>
      </w:r>
      <w:r w:rsidRPr="006E1A38">
        <w:rPr>
          <w:rFonts w:asciiTheme="minorHAnsi" w:hAnsiTheme="minorHAnsi"/>
        </w:rPr>
        <w:t xml:space="preserve"> ancora in grado di scalfire in profondità il </w:t>
      </w:r>
      <w:r w:rsidRPr="00DB1641">
        <w:rPr>
          <w:rFonts w:asciiTheme="minorHAnsi" w:hAnsiTheme="minorHAnsi"/>
          <w:b/>
        </w:rPr>
        <w:t>disagio ancora presente in larga parte della società meridionale</w:t>
      </w:r>
      <w:r>
        <w:rPr>
          <w:rFonts w:asciiTheme="minorHAnsi" w:hAnsiTheme="minorHAnsi"/>
        </w:rPr>
        <w:t xml:space="preserve">, anche perché l’economia del Sud rimane frenata nel suo potenziale di crescita da diversi fattori: </w:t>
      </w:r>
    </w:p>
    <w:p w:rsidR="009156C0" w:rsidRDefault="009156C0" w:rsidP="009156C0">
      <w:pPr>
        <w:pStyle w:val="Paragrafoelenco"/>
        <w:numPr>
          <w:ilvl w:val="0"/>
          <w:numId w:val="3"/>
        </w:numPr>
        <w:spacing w:after="120"/>
        <w:ind w:left="284" w:hanging="284"/>
        <w:rPr>
          <w:rFonts w:asciiTheme="minorHAnsi" w:hAnsiTheme="minorHAnsi"/>
        </w:rPr>
      </w:pPr>
      <w:r w:rsidRPr="004551A0">
        <w:rPr>
          <w:rFonts w:asciiTheme="minorHAnsi" w:hAnsiTheme="minorHAnsi"/>
        </w:rPr>
        <w:t xml:space="preserve">una </w:t>
      </w:r>
      <w:r w:rsidRPr="004551A0">
        <w:rPr>
          <w:rFonts w:asciiTheme="minorHAnsi" w:hAnsiTheme="minorHAnsi"/>
          <w:b/>
        </w:rPr>
        <w:t>composizione del tessuto produttivo meridionale</w:t>
      </w:r>
      <w:r w:rsidRPr="004551A0">
        <w:rPr>
          <w:rFonts w:asciiTheme="minorHAnsi" w:hAnsiTheme="minorHAnsi"/>
        </w:rPr>
        <w:t xml:space="preserve"> post crisi</w:t>
      </w:r>
      <w:r>
        <w:rPr>
          <w:rFonts w:asciiTheme="minorHAnsi" w:hAnsiTheme="minorHAnsi"/>
        </w:rPr>
        <w:t xml:space="preserve"> caratterizzata</w:t>
      </w:r>
      <w:r w:rsidRPr="004551A0">
        <w:rPr>
          <w:rFonts w:asciiTheme="minorHAnsi" w:hAnsiTheme="minorHAnsi"/>
        </w:rPr>
        <w:t xml:space="preserve"> da un numero elevato di imprese di piccola e piccolissima dimensione, che contribuiscono loro malgrado a tenere bassa la produttività</w:t>
      </w:r>
      <w:r>
        <w:rPr>
          <w:rFonts w:asciiTheme="minorHAnsi" w:hAnsiTheme="minorHAnsi"/>
        </w:rPr>
        <w:t>;</w:t>
      </w:r>
    </w:p>
    <w:p w:rsidR="009156C0" w:rsidRDefault="009156C0" w:rsidP="009156C0">
      <w:pPr>
        <w:pStyle w:val="Paragrafoelenco"/>
        <w:numPr>
          <w:ilvl w:val="0"/>
          <w:numId w:val="3"/>
        </w:numPr>
        <w:spacing w:after="120"/>
        <w:ind w:left="284" w:hanging="284"/>
        <w:rPr>
          <w:rFonts w:asciiTheme="minorHAnsi" w:hAnsiTheme="minorHAnsi"/>
        </w:rPr>
      </w:pPr>
      <w:r w:rsidRPr="004551A0">
        <w:rPr>
          <w:rFonts w:asciiTheme="minorHAnsi" w:hAnsiTheme="minorHAnsi"/>
          <w:b/>
        </w:rPr>
        <w:t>un’estrema diversificazione territoriale</w:t>
      </w:r>
      <w:r w:rsidRPr="004551A0">
        <w:rPr>
          <w:rFonts w:asciiTheme="minorHAnsi" w:hAnsiTheme="minorHAnsi"/>
        </w:rPr>
        <w:t>, che lascia intravedere un Mezzogiorno a più</w:t>
      </w:r>
      <w:r>
        <w:rPr>
          <w:rFonts w:asciiTheme="minorHAnsi" w:hAnsiTheme="minorHAnsi"/>
        </w:rPr>
        <w:t xml:space="preserve"> velocità</w:t>
      </w:r>
      <w:r w:rsidRPr="004551A0">
        <w:rPr>
          <w:rFonts w:asciiTheme="minorHAnsi" w:hAnsiTheme="minorHAnsi"/>
        </w:rPr>
        <w:t>;</w:t>
      </w:r>
    </w:p>
    <w:p w:rsidR="009156C0" w:rsidRDefault="009156C0" w:rsidP="009156C0">
      <w:pPr>
        <w:pStyle w:val="Paragrafoelenco"/>
        <w:numPr>
          <w:ilvl w:val="0"/>
          <w:numId w:val="3"/>
        </w:numPr>
        <w:spacing w:after="120"/>
        <w:ind w:left="284" w:hanging="284"/>
        <w:rPr>
          <w:rFonts w:asciiTheme="minorHAnsi" w:hAnsiTheme="minorHAnsi"/>
        </w:rPr>
      </w:pPr>
      <w:r>
        <w:rPr>
          <w:rFonts w:asciiTheme="minorHAnsi" w:hAnsiTheme="minorHAnsi"/>
        </w:rPr>
        <w:t>la</w:t>
      </w:r>
      <w:r w:rsidRPr="004551A0">
        <w:rPr>
          <w:rFonts w:asciiTheme="minorHAnsi" w:hAnsiTheme="minorHAnsi"/>
        </w:rPr>
        <w:t xml:space="preserve"> </w:t>
      </w:r>
      <w:r w:rsidRPr="004551A0">
        <w:rPr>
          <w:rFonts w:asciiTheme="minorHAnsi" w:hAnsiTheme="minorHAnsi"/>
          <w:b/>
        </w:rPr>
        <w:t>bassa competitività dei territori</w:t>
      </w:r>
      <w:r>
        <w:rPr>
          <w:rFonts w:asciiTheme="minorHAnsi" w:hAnsiTheme="minorHAnsi"/>
          <w:b/>
        </w:rPr>
        <w:t xml:space="preserve">, </w:t>
      </w:r>
      <w:r>
        <w:rPr>
          <w:rFonts w:asciiTheme="minorHAnsi" w:hAnsiTheme="minorHAnsi"/>
        </w:rPr>
        <w:t>come mostrano</w:t>
      </w:r>
      <w:r w:rsidRPr="0048383C">
        <w:rPr>
          <w:rFonts w:asciiTheme="minorHAnsi" w:hAnsiTheme="minorHAnsi"/>
        </w:rPr>
        <w:t xml:space="preserve"> </w:t>
      </w:r>
      <w:r>
        <w:rPr>
          <w:rFonts w:asciiTheme="minorHAnsi" w:hAnsiTheme="minorHAnsi"/>
        </w:rPr>
        <w:t xml:space="preserve">i </w:t>
      </w:r>
      <w:r w:rsidRPr="0048383C">
        <w:rPr>
          <w:rFonts w:asciiTheme="minorHAnsi" w:hAnsiTheme="minorHAnsi"/>
        </w:rPr>
        <w:t xml:space="preserve">punteggi ottenuti </w:t>
      </w:r>
      <w:r>
        <w:rPr>
          <w:rFonts w:asciiTheme="minorHAnsi" w:hAnsiTheme="minorHAnsi"/>
        </w:rPr>
        <w:t xml:space="preserve">dalle regioni meridionali nel calcolo di molti degli indicatori che compongono </w:t>
      </w:r>
      <w:r w:rsidRPr="0048383C">
        <w:rPr>
          <w:rFonts w:asciiTheme="minorHAnsi" w:hAnsiTheme="minorHAnsi"/>
        </w:rPr>
        <w:t>l</w:t>
      </w:r>
      <w:r>
        <w:rPr>
          <w:rFonts w:asciiTheme="minorHAnsi" w:hAnsiTheme="minorHAnsi"/>
          <w:b/>
        </w:rPr>
        <w:t>’Indice di Competitività regionale della Commissione Europea</w:t>
      </w:r>
      <w:r>
        <w:rPr>
          <w:rFonts w:asciiTheme="minorHAnsi" w:hAnsiTheme="minorHAnsi"/>
        </w:rPr>
        <w:t>.</w:t>
      </w:r>
    </w:p>
    <w:p w:rsidR="009156C0" w:rsidRDefault="00E9318C" w:rsidP="009156C0">
      <w:pPr>
        <w:pStyle w:val="Paragrafoelenco"/>
        <w:numPr>
          <w:ilvl w:val="0"/>
          <w:numId w:val="3"/>
        </w:numPr>
        <w:spacing w:after="120"/>
        <w:ind w:left="284" w:hanging="284"/>
        <w:rPr>
          <w:rFonts w:asciiTheme="minorHAnsi" w:hAnsiTheme="minorHAnsi"/>
        </w:rPr>
      </w:pPr>
      <w:r w:rsidRPr="00E9318C">
        <w:rPr>
          <w:rFonts w:asciiTheme="minorHAnsi" w:hAnsiTheme="minorHAnsi"/>
        </w:rPr>
        <w:t xml:space="preserve">Il </w:t>
      </w:r>
      <w:r w:rsidR="009156C0" w:rsidRPr="00E9318C">
        <w:rPr>
          <w:rFonts w:asciiTheme="minorHAnsi" w:hAnsiTheme="minorHAnsi"/>
          <w:b/>
        </w:rPr>
        <w:t>credito</w:t>
      </w:r>
      <w:r w:rsidR="009156C0">
        <w:rPr>
          <w:rFonts w:asciiTheme="minorHAnsi" w:hAnsiTheme="minorHAnsi"/>
        </w:rPr>
        <w:t>: le condizioni creditizie al Sud sono in miglioramento, ma non per tutti, e l’offerta di credito, sebbene in allentamento, non riesce a seguire pienamente la domanda.</w:t>
      </w:r>
    </w:p>
    <w:p w:rsidR="009156C0" w:rsidRPr="00876283" w:rsidRDefault="009156C0" w:rsidP="009156C0">
      <w:pPr>
        <w:pStyle w:val="Paragrafoelenco"/>
        <w:numPr>
          <w:ilvl w:val="0"/>
          <w:numId w:val="3"/>
        </w:numPr>
        <w:spacing w:after="120"/>
        <w:ind w:left="284" w:hanging="284"/>
        <w:rPr>
          <w:rFonts w:asciiTheme="minorHAnsi" w:hAnsiTheme="minorHAnsi"/>
        </w:rPr>
      </w:pPr>
      <w:r w:rsidRPr="00876283">
        <w:rPr>
          <w:rFonts w:asciiTheme="minorHAnsi" w:hAnsiTheme="minorHAnsi"/>
        </w:rPr>
        <w:t xml:space="preserve">l’insufficiente contributo </w:t>
      </w:r>
      <w:r w:rsidRPr="00876283">
        <w:rPr>
          <w:rFonts w:asciiTheme="minorHAnsi" w:hAnsiTheme="minorHAnsi"/>
          <w:b/>
        </w:rPr>
        <w:t>della spesa pubblica per investimenti</w:t>
      </w:r>
      <w:r w:rsidRPr="00876283">
        <w:rPr>
          <w:rFonts w:asciiTheme="minorHAnsi" w:hAnsiTheme="minorHAnsi"/>
        </w:rPr>
        <w:t>, confermata dalle stime dei Conti Pubblici Territoriali per il 2016</w:t>
      </w:r>
      <w:r>
        <w:rPr>
          <w:rFonts w:asciiTheme="minorHAnsi" w:hAnsiTheme="minorHAnsi"/>
        </w:rPr>
        <w:t>,</w:t>
      </w:r>
      <w:r w:rsidRPr="00876283">
        <w:rPr>
          <w:rFonts w:asciiTheme="minorHAnsi" w:hAnsiTheme="minorHAnsi"/>
        </w:rPr>
        <w:t xml:space="preserve"> che evidenziano una nuova contrazione della spesa in conto capitale della P.A. al netto delle partite finanziarie, che tocca un nuovo minimo degli ultimi 15 anni, passando da 15 a 13 miliardi, oltre 11 miliardi in meno del 2002. Pesa, in particolare, il dimezzamento della spesa delle risorse aggiuntive, a causa del lento avvio del nuovo ciclo di programmazione dei fondi strutturali. Le recentissime stime CPT sull’andamento dei primi mesi del 2017 confermano purtroppo questa tendenza. </w:t>
      </w:r>
    </w:p>
    <w:p w:rsidR="009156C0" w:rsidRPr="00876283" w:rsidRDefault="009156C0" w:rsidP="009156C0">
      <w:pPr>
        <w:spacing w:after="120"/>
        <w:rPr>
          <w:rFonts w:asciiTheme="minorHAnsi" w:hAnsiTheme="minorHAnsi" w:cs="Arial"/>
          <w:color w:val="000000" w:themeColor="text1"/>
        </w:rPr>
      </w:pPr>
      <w:r w:rsidRPr="00876283">
        <w:rPr>
          <w:rFonts w:asciiTheme="minorHAnsi" w:hAnsiTheme="minorHAnsi" w:cs="Arial"/>
          <w:color w:val="000000" w:themeColor="text1"/>
        </w:rPr>
        <w:t xml:space="preserve">Il </w:t>
      </w:r>
      <w:r w:rsidRPr="00FD0DBD">
        <w:rPr>
          <w:rFonts w:asciiTheme="minorHAnsi" w:hAnsiTheme="minorHAnsi" w:cs="Arial"/>
          <w:b/>
          <w:color w:val="000000" w:themeColor="text1"/>
        </w:rPr>
        <w:t>Mezzogiorno prosegue dunque la sua risalita</w:t>
      </w:r>
      <w:r w:rsidRPr="00876283">
        <w:rPr>
          <w:rFonts w:asciiTheme="minorHAnsi" w:hAnsiTheme="minorHAnsi" w:cs="Arial"/>
          <w:color w:val="000000" w:themeColor="text1"/>
        </w:rPr>
        <w:t xml:space="preserve">: i risultati consolidati negli ultimi due anni e le previsioni per il prossimo sembrerebbero confermare che la ripartenza dell’economia meridionale ha agganciato in maniera stabile quella del resto del Paese, nonostante i numerosi fattori di freno. E i risultati per molti versi migliori, sia pure da diverse basi di partenza, di molte regioni meridionali, rispetto al resto del Paese confermano che esistono effettive potenzialità per la progressiva riduzione dei divari. Anche perché le condizioni per una ripresa più robusta, già nel 2018, ci sono tutte, grazie ai recenti provvedimenti per il Sud e all’avvio effettivo dei </w:t>
      </w:r>
      <w:r w:rsidRPr="00FD0DBD">
        <w:rPr>
          <w:rFonts w:asciiTheme="minorHAnsi" w:hAnsiTheme="minorHAnsi" w:cs="Arial"/>
          <w:b/>
          <w:color w:val="000000" w:themeColor="text1"/>
        </w:rPr>
        <w:t>Programmi 2014-20 da parte delle Regioni</w:t>
      </w:r>
      <w:r w:rsidRPr="00876283">
        <w:rPr>
          <w:rFonts w:asciiTheme="minorHAnsi" w:hAnsiTheme="minorHAnsi" w:cs="Arial"/>
          <w:color w:val="000000" w:themeColor="text1"/>
        </w:rPr>
        <w:t>, che stanno creando condizioni di effettivo vantaggio per gli investimenti nel Mezzogiorno.</w:t>
      </w:r>
    </w:p>
    <w:p w:rsidR="009156C0" w:rsidRDefault="009156C0" w:rsidP="009156C0">
      <w:pPr>
        <w:spacing w:after="120"/>
        <w:rPr>
          <w:rFonts w:asciiTheme="minorHAnsi" w:hAnsiTheme="minorHAnsi" w:cs="Arial"/>
          <w:color w:val="000000" w:themeColor="text1"/>
        </w:rPr>
      </w:pPr>
      <w:r w:rsidRPr="00FD0DBD">
        <w:rPr>
          <w:rFonts w:asciiTheme="minorHAnsi" w:hAnsiTheme="minorHAnsi" w:cs="Arial"/>
          <w:b/>
          <w:color w:val="000000" w:themeColor="text1"/>
        </w:rPr>
        <w:t>La combinazione di condizioni favorevoli e dinamismo imprenditoriale può fare del 2018 un anno davvero chiave per le prospettive future dell’economia del Mezzogiorno</w:t>
      </w:r>
      <w:r w:rsidRPr="00876283">
        <w:rPr>
          <w:rFonts w:asciiTheme="minorHAnsi" w:hAnsiTheme="minorHAnsi" w:cs="Arial"/>
          <w:color w:val="000000" w:themeColor="text1"/>
        </w:rPr>
        <w:t xml:space="preserve">. </w:t>
      </w:r>
    </w:p>
    <w:p w:rsidR="009156C0" w:rsidRPr="00876283" w:rsidRDefault="009156C0" w:rsidP="009156C0">
      <w:pPr>
        <w:spacing w:after="120"/>
        <w:rPr>
          <w:rFonts w:asciiTheme="minorHAnsi" w:hAnsiTheme="minorHAnsi"/>
        </w:rPr>
      </w:pPr>
      <w:r w:rsidRPr="00876283">
        <w:rPr>
          <w:rFonts w:asciiTheme="minorHAnsi" w:hAnsiTheme="minorHAnsi" w:cs="Arial"/>
          <w:color w:val="000000" w:themeColor="text1"/>
        </w:rPr>
        <w:t xml:space="preserve">Ci sono </w:t>
      </w:r>
      <w:r w:rsidRPr="00FD0DBD">
        <w:rPr>
          <w:rFonts w:asciiTheme="minorHAnsi" w:hAnsiTheme="minorHAnsi" w:cs="Arial"/>
          <w:b/>
          <w:color w:val="000000" w:themeColor="text1"/>
        </w:rPr>
        <w:t>tre ambiti di azione</w:t>
      </w:r>
      <w:r w:rsidRPr="00876283">
        <w:rPr>
          <w:rFonts w:asciiTheme="minorHAnsi" w:hAnsiTheme="minorHAnsi" w:cs="Arial"/>
          <w:color w:val="000000" w:themeColor="text1"/>
        </w:rPr>
        <w:t xml:space="preserve"> capaci di influire, in un modo o nell’altro, su questo snodo chiave: il sostegno agli investimenti privati; la ripresa degli investimenti pubblici; un contesto stabilmente competitivo. Ed una sola politica in grado di favorire, contemporaneamente questi tre elementi chiave: la </w:t>
      </w:r>
      <w:r w:rsidRPr="00FD0DBD">
        <w:rPr>
          <w:rFonts w:asciiTheme="minorHAnsi" w:hAnsiTheme="minorHAnsi" w:cs="Arial"/>
          <w:b/>
          <w:color w:val="000000" w:themeColor="text1"/>
        </w:rPr>
        <w:t xml:space="preserve">politica di coesione, comunitaria e nazionale, ovvero </w:t>
      </w:r>
      <w:r w:rsidRPr="00FD0DBD">
        <w:rPr>
          <w:rFonts w:asciiTheme="minorHAnsi" w:eastAsia="Times New Roman" w:hAnsiTheme="minorHAnsi" w:cs="Arial"/>
          <w:b/>
          <w:bCs/>
          <w:color w:val="000000" w:themeColor="text1"/>
        </w:rPr>
        <w:t>la principale politica di investimento</w:t>
      </w:r>
      <w:r w:rsidRPr="00FD0DBD">
        <w:rPr>
          <w:rFonts w:asciiTheme="minorHAnsi" w:eastAsia="Times New Roman" w:hAnsiTheme="minorHAnsi" w:cs="Arial"/>
          <w:b/>
          <w:color w:val="000000" w:themeColor="text1"/>
        </w:rPr>
        <w:t xml:space="preserve"> dell’Unione europea</w:t>
      </w:r>
      <w:r w:rsidRPr="00876283">
        <w:rPr>
          <w:rFonts w:asciiTheme="minorHAnsi" w:eastAsia="Times New Roman" w:hAnsiTheme="minorHAnsi" w:cs="Arial"/>
          <w:color w:val="000000" w:themeColor="text1"/>
        </w:rPr>
        <w:t>. E il 2018 è l’anno decisivo per iniziare a vedere concreti effetti degli interventi della programmazione in corso e per porre le basi per una prospettiva per il post 2020 stabile e concreta.</w:t>
      </w:r>
    </w:p>
    <w:p w:rsidR="00AE18AD" w:rsidRPr="00B96E5E" w:rsidRDefault="00AE18AD" w:rsidP="007F4FFE">
      <w:pPr>
        <w:spacing w:after="120"/>
        <w:rPr>
          <w:rFonts w:asciiTheme="minorHAnsi" w:hAnsiTheme="minorHAnsi"/>
        </w:rPr>
      </w:pPr>
      <w:r w:rsidRPr="00C701BB">
        <w:rPr>
          <w:rFonts w:ascii="Cambria" w:hAnsi="Cambria"/>
          <w:b/>
        </w:rPr>
        <w:t>Indice sintetico* delle principali variabili economiche nel Mezzogiorno tra il 2007 ed il 201</w:t>
      </w:r>
      <w:r w:rsidR="007E3DBC">
        <w:rPr>
          <w:rFonts w:ascii="Cambria" w:hAnsi="Cambria"/>
          <w:b/>
        </w:rPr>
        <w:t>7</w:t>
      </w:r>
    </w:p>
    <w:p w:rsidR="00234F4D" w:rsidRPr="00C701BB" w:rsidRDefault="00A37692" w:rsidP="007E3DBC">
      <w:pPr>
        <w:spacing w:after="120"/>
        <w:jc w:val="center"/>
        <w:rPr>
          <w:rFonts w:ascii="Cambria" w:hAnsi="Cambria"/>
          <w:b/>
        </w:rPr>
      </w:pPr>
      <w:r>
        <w:rPr>
          <w:rFonts w:ascii="Cambria" w:hAnsi="Cambria"/>
          <w:b/>
          <w:noProof/>
          <w:lang w:eastAsia="it-IT"/>
        </w:rPr>
        <w:drawing>
          <wp:inline distT="0" distB="0" distL="0" distR="0">
            <wp:extent cx="5825794" cy="2968851"/>
            <wp:effectExtent l="19050" t="0" r="3506" b="0"/>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826364" cy="2969142"/>
                    </a:xfrm>
                    <a:prstGeom prst="rect">
                      <a:avLst/>
                    </a:prstGeom>
                    <a:noFill/>
                    <a:ln w="9525">
                      <a:noFill/>
                      <a:miter lim="800000"/>
                      <a:headEnd/>
                      <a:tailEnd/>
                    </a:ln>
                  </pic:spPr>
                </pic:pic>
              </a:graphicData>
            </a:graphic>
          </wp:inline>
        </w:drawing>
      </w:r>
    </w:p>
    <w:p w:rsidR="00AE18AD" w:rsidRPr="00F464F0" w:rsidRDefault="00AE18AD" w:rsidP="007F4FFE">
      <w:pPr>
        <w:spacing w:after="120"/>
        <w:rPr>
          <w:rFonts w:ascii="Helvetica" w:hAnsi="Helvetica"/>
          <w:noProof/>
          <w:lang w:eastAsia="it-IT"/>
        </w:rPr>
      </w:pPr>
    </w:p>
    <w:p w:rsidR="00AE18AD" w:rsidRPr="00C701BB" w:rsidRDefault="00AE18AD" w:rsidP="007F4FFE">
      <w:pPr>
        <w:spacing w:after="120"/>
        <w:rPr>
          <w:rFonts w:asciiTheme="majorHAnsi" w:hAnsiTheme="majorHAnsi"/>
          <w:sz w:val="18"/>
          <w:szCs w:val="18"/>
        </w:rPr>
      </w:pPr>
      <w:r w:rsidRPr="00C701BB">
        <w:rPr>
          <w:rFonts w:asciiTheme="majorHAnsi" w:hAnsiTheme="majorHAnsi"/>
          <w:sz w:val="18"/>
          <w:szCs w:val="18"/>
        </w:rPr>
        <w:t>*E’ un indice composito calcolato come somma dei valori indicizzati al 2007 di alcune importanti variabili macroeconomiche: PIL (valori concatenati, anno base 2010), Investimenti fissi lordi, Imprese attive, Export.</w:t>
      </w:r>
    </w:p>
    <w:p w:rsidR="00AE18AD" w:rsidRPr="00C701BB" w:rsidRDefault="00AE18AD" w:rsidP="007F4FFE">
      <w:pPr>
        <w:spacing w:after="120"/>
        <w:rPr>
          <w:rFonts w:asciiTheme="majorHAnsi" w:hAnsiTheme="majorHAnsi"/>
          <w:sz w:val="18"/>
          <w:szCs w:val="18"/>
        </w:rPr>
      </w:pPr>
      <w:r w:rsidRPr="00C701BB">
        <w:rPr>
          <w:rFonts w:asciiTheme="majorHAnsi" w:hAnsiTheme="majorHAnsi"/>
          <w:sz w:val="18"/>
          <w:szCs w:val="18"/>
        </w:rPr>
        <w:t>Fonte: Elaborazione Confindustria e SRM su fonti varie</w:t>
      </w:r>
    </w:p>
    <w:p w:rsidR="00AE18AD" w:rsidRPr="00F464F0" w:rsidRDefault="00AE18AD" w:rsidP="007F4FFE">
      <w:pPr>
        <w:spacing w:after="120"/>
        <w:rPr>
          <w:rFonts w:ascii="Helvetica" w:hAnsi="Helvetica"/>
        </w:rPr>
      </w:pPr>
    </w:p>
    <w:p w:rsidR="00AE18AD" w:rsidRDefault="00AE18AD" w:rsidP="007F4FFE">
      <w:pPr>
        <w:spacing w:after="120"/>
        <w:rPr>
          <w:rFonts w:asciiTheme="majorHAnsi" w:hAnsiTheme="majorHAnsi"/>
          <w:b/>
        </w:rPr>
      </w:pPr>
      <w:r w:rsidRPr="007E3DBC">
        <w:rPr>
          <w:rFonts w:asciiTheme="majorHAnsi" w:hAnsiTheme="majorHAnsi"/>
          <w:b/>
        </w:rPr>
        <w:t>Com</w:t>
      </w:r>
      <w:r w:rsidR="007E2BBD" w:rsidRPr="007E3DBC">
        <w:rPr>
          <w:rFonts w:asciiTheme="majorHAnsi" w:hAnsiTheme="majorHAnsi"/>
          <w:b/>
        </w:rPr>
        <w:t>posizione dell’Indice sintetico*</w:t>
      </w:r>
    </w:p>
    <w:p w:rsidR="007E3DBC" w:rsidRPr="00C701BB" w:rsidRDefault="007E3DBC" w:rsidP="007F4FFE">
      <w:pPr>
        <w:spacing w:after="120"/>
        <w:rPr>
          <w:rFonts w:asciiTheme="majorHAnsi" w:hAnsiTheme="majorHAnsi"/>
          <w:b/>
        </w:rPr>
      </w:pPr>
      <w:r>
        <w:rPr>
          <w:rFonts w:asciiTheme="majorHAnsi" w:hAnsiTheme="majorHAnsi"/>
          <w:b/>
          <w:noProof/>
          <w:lang w:eastAsia="it-IT"/>
        </w:rPr>
        <w:drawing>
          <wp:inline distT="0" distB="0" distL="0" distR="0">
            <wp:extent cx="5738012" cy="2622053"/>
            <wp:effectExtent l="19050" t="0" r="0" b="0"/>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38482" cy="2622268"/>
                    </a:xfrm>
                    <a:prstGeom prst="rect">
                      <a:avLst/>
                    </a:prstGeom>
                    <a:noFill/>
                    <a:ln w="9525">
                      <a:noFill/>
                      <a:miter lim="800000"/>
                      <a:headEnd/>
                      <a:tailEnd/>
                    </a:ln>
                  </pic:spPr>
                </pic:pic>
              </a:graphicData>
            </a:graphic>
          </wp:inline>
        </w:drawing>
      </w:r>
    </w:p>
    <w:p w:rsidR="00AE18AD" w:rsidRPr="00F464F0" w:rsidRDefault="00AE18AD" w:rsidP="007F4FFE">
      <w:pPr>
        <w:spacing w:after="120"/>
        <w:rPr>
          <w:rFonts w:ascii="Helvetica" w:hAnsi="Helvetica"/>
        </w:rPr>
      </w:pPr>
    </w:p>
    <w:p w:rsidR="00C701BB" w:rsidRPr="00C701BB" w:rsidRDefault="00C701BB" w:rsidP="007F4FFE">
      <w:pPr>
        <w:spacing w:after="120"/>
        <w:rPr>
          <w:rFonts w:asciiTheme="majorHAnsi" w:hAnsiTheme="majorHAnsi"/>
          <w:sz w:val="18"/>
          <w:szCs w:val="18"/>
        </w:rPr>
      </w:pPr>
      <w:r w:rsidRPr="00C701BB">
        <w:rPr>
          <w:rFonts w:asciiTheme="majorHAnsi" w:hAnsiTheme="majorHAnsi"/>
          <w:sz w:val="18"/>
          <w:szCs w:val="18"/>
        </w:rPr>
        <w:t>*Valori stimati per gli investimenti</w:t>
      </w:r>
    </w:p>
    <w:p w:rsidR="00AE18AD" w:rsidRPr="00C701BB" w:rsidRDefault="00AE18AD" w:rsidP="007F4FFE">
      <w:pPr>
        <w:spacing w:after="120"/>
        <w:rPr>
          <w:rFonts w:asciiTheme="majorHAnsi" w:hAnsiTheme="majorHAnsi"/>
          <w:sz w:val="18"/>
          <w:szCs w:val="18"/>
        </w:rPr>
      </w:pPr>
      <w:r w:rsidRPr="00C701BB">
        <w:rPr>
          <w:rFonts w:asciiTheme="majorHAnsi" w:hAnsiTheme="majorHAnsi"/>
          <w:sz w:val="18"/>
          <w:szCs w:val="18"/>
        </w:rPr>
        <w:t>Fonte: Elaborazione Confindustria e SRM su fonti varie</w:t>
      </w:r>
    </w:p>
    <w:p w:rsidR="00AE18AD" w:rsidRDefault="00AE18AD" w:rsidP="007F4FFE">
      <w:pPr>
        <w:spacing w:after="120"/>
        <w:rPr>
          <w:rFonts w:ascii="Helvetica" w:hAnsi="Helvetica"/>
          <w:sz w:val="18"/>
          <w:szCs w:val="18"/>
        </w:rPr>
      </w:pPr>
    </w:p>
    <w:p w:rsidR="00241A91" w:rsidRDefault="00241A91" w:rsidP="007F4FFE">
      <w:pPr>
        <w:spacing w:after="120"/>
        <w:rPr>
          <w:rFonts w:ascii="Helvetica" w:hAnsi="Helvetica"/>
          <w:sz w:val="18"/>
          <w:szCs w:val="18"/>
        </w:rPr>
      </w:pPr>
    </w:p>
    <w:p w:rsidR="005B3362" w:rsidRDefault="005B3362" w:rsidP="007F4FFE">
      <w:pPr>
        <w:spacing w:after="120"/>
        <w:rPr>
          <w:rFonts w:asciiTheme="majorHAnsi" w:hAnsiTheme="majorHAnsi"/>
          <w:b/>
        </w:rPr>
      </w:pPr>
    </w:p>
    <w:p w:rsidR="005B3362" w:rsidRDefault="005B3362" w:rsidP="007F4FFE">
      <w:pPr>
        <w:spacing w:after="120"/>
        <w:rPr>
          <w:rFonts w:asciiTheme="majorHAnsi" w:hAnsiTheme="majorHAnsi"/>
          <w:b/>
        </w:rPr>
      </w:pPr>
    </w:p>
    <w:p w:rsidR="005B3362" w:rsidRDefault="005B3362" w:rsidP="007F4FFE">
      <w:pPr>
        <w:spacing w:after="120"/>
        <w:rPr>
          <w:rFonts w:asciiTheme="majorHAnsi" w:hAnsiTheme="majorHAnsi"/>
          <w:b/>
        </w:rPr>
      </w:pPr>
    </w:p>
    <w:p w:rsidR="004E0AAE" w:rsidRDefault="004E0AAE" w:rsidP="007F4FFE">
      <w:pPr>
        <w:spacing w:after="120"/>
        <w:rPr>
          <w:rFonts w:asciiTheme="majorHAnsi" w:hAnsiTheme="majorHAnsi"/>
          <w:b/>
        </w:rPr>
      </w:pPr>
    </w:p>
    <w:p w:rsidR="007E3DBC" w:rsidRPr="008706F6" w:rsidRDefault="008706F6" w:rsidP="007F4FFE">
      <w:pPr>
        <w:spacing w:after="120"/>
        <w:rPr>
          <w:rFonts w:ascii="Cambria" w:hAnsi="Cambria"/>
          <w:b/>
        </w:rPr>
      </w:pPr>
      <w:proofErr w:type="spellStart"/>
      <w:r w:rsidRPr="008706F6">
        <w:rPr>
          <w:rFonts w:ascii="Cambria" w:hAnsi="Cambria"/>
          <w:b/>
        </w:rPr>
        <w:t>Consensus</w:t>
      </w:r>
      <w:proofErr w:type="spellEnd"/>
      <w:r w:rsidRPr="008706F6">
        <w:rPr>
          <w:rFonts w:ascii="Cambria" w:hAnsi="Cambria"/>
          <w:b/>
        </w:rPr>
        <w:t xml:space="preserve"> sulle previsioni del PIL per il 2017 e il 2018 per macroarea (valori percentuali)</w:t>
      </w:r>
    </w:p>
    <w:p w:rsidR="00241A91" w:rsidRPr="00241A91" w:rsidRDefault="007E3DBC" w:rsidP="007F4FFE">
      <w:pPr>
        <w:spacing w:after="120"/>
        <w:rPr>
          <w:rFonts w:asciiTheme="majorHAnsi" w:hAnsiTheme="majorHAnsi"/>
          <w:b/>
        </w:rPr>
      </w:pPr>
      <w:r>
        <w:rPr>
          <w:rFonts w:asciiTheme="majorHAnsi" w:hAnsiTheme="majorHAnsi"/>
          <w:b/>
          <w:noProof/>
          <w:lang w:eastAsia="it-IT"/>
        </w:rPr>
        <w:drawing>
          <wp:inline distT="0" distB="0" distL="0" distR="0">
            <wp:extent cx="6122670" cy="1177925"/>
            <wp:effectExtent l="19050" t="0" r="0" b="0"/>
            <wp:docPr id="1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122670" cy="1177925"/>
                    </a:xfrm>
                    <a:prstGeom prst="rect">
                      <a:avLst/>
                    </a:prstGeom>
                    <a:noFill/>
                    <a:ln w="9525">
                      <a:noFill/>
                      <a:miter lim="800000"/>
                      <a:headEnd/>
                      <a:tailEnd/>
                    </a:ln>
                  </pic:spPr>
                </pic:pic>
              </a:graphicData>
            </a:graphic>
          </wp:inline>
        </w:drawing>
      </w:r>
    </w:p>
    <w:p w:rsidR="00EB470E" w:rsidRPr="00275DB1" w:rsidRDefault="00275DB1" w:rsidP="007F4FFE">
      <w:pPr>
        <w:spacing w:after="120"/>
        <w:rPr>
          <w:rFonts w:asciiTheme="majorHAnsi" w:eastAsia="Times New Roman" w:hAnsiTheme="majorHAnsi"/>
          <w:sz w:val="18"/>
          <w:szCs w:val="18"/>
          <w:lang w:eastAsia="it-IT"/>
        </w:rPr>
      </w:pPr>
      <w:r w:rsidRPr="00275DB1">
        <w:rPr>
          <w:rFonts w:asciiTheme="majorHAnsi" w:eastAsia="Times New Roman" w:hAnsiTheme="majorHAnsi"/>
          <w:sz w:val="18"/>
          <w:szCs w:val="18"/>
          <w:lang w:eastAsia="it-IT"/>
        </w:rPr>
        <w:t>Fonte: elaborazione Confindustria e SRM su dati Istat</w:t>
      </w:r>
    </w:p>
    <w:p w:rsidR="00E07361" w:rsidRPr="00E07361" w:rsidRDefault="00E07361" w:rsidP="00E07361">
      <w:pPr>
        <w:spacing w:after="120"/>
        <w:rPr>
          <w:rFonts w:ascii="Cambria" w:hAnsi="Cambria"/>
          <w:b/>
        </w:rPr>
      </w:pPr>
      <w:r w:rsidRPr="00E07361">
        <w:rPr>
          <w:rFonts w:ascii="Cambria" w:hAnsi="Cambria"/>
          <w:b/>
        </w:rPr>
        <w:t>Tassi di crescita del numero di imprese* 2010-2017, confronto tra Mezzogiorno e Centro-</w:t>
      </w:r>
    </w:p>
    <w:p w:rsidR="00275DB1" w:rsidRPr="00E07361" w:rsidRDefault="00E07361" w:rsidP="00E07361">
      <w:pPr>
        <w:spacing w:after="120"/>
        <w:rPr>
          <w:rFonts w:ascii="Cambria" w:hAnsi="Cambria"/>
          <w:b/>
        </w:rPr>
      </w:pPr>
      <w:r w:rsidRPr="00E07361">
        <w:rPr>
          <w:rFonts w:ascii="Cambria" w:hAnsi="Cambria"/>
          <w:b/>
        </w:rPr>
        <w:t>Nord</w:t>
      </w:r>
    </w:p>
    <w:p w:rsidR="00E07361" w:rsidRPr="007E2BBD" w:rsidRDefault="00E07361" w:rsidP="007F4FFE">
      <w:pPr>
        <w:shd w:val="clear" w:color="auto" w:fill="FFFFFF"/>
        <w:spacing w:after="120"/>
        <w:rPr>
          <w:rFonts w:asciiTheme="majorHAnsi" w:hAnsiTheme="majorHAnsi"/>
          <w:b/>
        </w:rPr>
      </w:pPr>
      <w:r>
        <w:rPr>
          <w:rFonts w:asciiTheme="majorHAnsi" w:hAnsiTheme="majorHAnsi"/>
          <w:b/>
          <w:noProof/>
          <w:lang w:eastAsia="it-IT"/>
        </w:rPr>
        <w:drawing>
          <wp:inline distT="0" distB="0" distL="0" distR="0">
            <wp:extent cx="6059881" cy="3218688"/>
            <wp:effectExtent l="19050" t="0" r="0" b="0"/>
            <wp:docPr id="1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064256" cy="3221012"/>
                    </a:xfrm>
                    <a:prstGeom prst="rect">
                      <a:avLst/>
                    </a:prstGeom>
                    <a:noFill/>
                    <a:ln w="9525">
                      <a:noFill/>
                      <a:miter lim="800000"/>
                      <a:headEnd/>
                      <a:tailEnd/>
                    </a:ln>
                  </pic:spPr>
                </pic:pic>
              </a:graphicData>
            </a:graphic>
          </wp:inline>
        </w:drawing>
      </w:r>
    </w:p>
    <w:p w:rsidR="00BC0014" w:rsidRPr="00F464F0" w:rsidRDefault="00BC0014" w:rsidP="007F4FFE">
      <w:pPr>
        <w:spacing w:after="120"/>
        <w:rPr>
          <w:rFonts w:ascii="Helvetica" w:hAnsi="Helvetica"/>
          <w:b/>
          <w:sz w:val="20"/>
          <w:szCs w:val="20"/>
        </w:rPr>
      </w:pPr>
    </w:p>
    <w:p w:rsidR="00E07361" w:rsidRDefault="00E07361" w:rsidP="007F4FFE">
      <w:pPr>
        <w:spacing w:after="120"/>
        <w:rPr>
          <w:rFonts w:ascii="HelveticaLTStd-Cond" w:hAnsi="HelveticaLTStd-Cond" w:cs="HelveticaLTStd-Cond"/>
          <w:sz w:val="18"/>
          <w:szCs w:val="18"/>
          <w:lang w:eastAsia="it-IT"/>
        </w:rPr>
      </w:pPr>
      <w:r>
        <w:rPr>
          <w:rFonts w:ascii="HelveticaLTStd-Cond" w:hAnsi="HelveticaLTStd-Cond" w:cs="HelveticaLTStd-Cond"/>
          <w:sz w:val="18"/>
          <w:szCs w:val="18"/>
          <w:lang w:eastAsia="it-IT"/>
        </w:rPr>
        <w:t>* Imprese attive; tassi di crescita tendenziali (III trimestre su III trimestre dell’anno precedente)</w:t>
      </w:r>
    </w:p>
    <w:p w:rsidR="00011DF5" w:rsidRDefault="007E2BBD" w:rsidP="007F4FFE">
      <w:pPr>
        <w:spacing w:after="120"/>
        <w:rPr>
          <w:rFonts w:asciiTheme="majorHAnsi" w:eastAsia="Times New Roman" w:hAnsiTheme="majorHAnsi"/>
          <w:sz w:val="18"/>
          <w:szCs w:val="18"/>
          <w:lang w:eastAsia="it-IT"/>
        </w:rPr>
      </w:pPr>
      <w:r w:rsidRPr="007E2BBD">
        <w:rPr>
          <w:rFonts w:asciiTheme="majorHAnsi" w:eastAsia="Times New Roman" w:hAnsiTheme="majorHAnsi"/>
          <w:sz w:val="18"/>
          <w:szCs w:val="18"/>
          <w:lang w:eastAsia="it-IT"/>
        </w:rPr>
        <w:t xml:space="preserve">Fonte: elaborazione Confindustria e SRM su dati </w:t>
      </w:r>
      <w:proofErr w:type="spellStart"/>
      <w:r w:rsidRPr="007E2BBD">
        <w:rPr>
          <w:rFonts w:asciiTheme="majorHAnsi" w:eastAsia="Times New Roman" w:hAnsiTheme="majorHAnsi"/>
          <w:sz w:val="18"/>
          <w:szCs w:val="18"/>
          <w:lang w:eastAsia="it-IT"/>
        </w:rPr>
        <w:t>Movimprese</w:t>
      </w:r>
      <w:proofErr w:type="spellEnd"/>
    </w:p>
    <w:p w:rsidR="00536FB6" w:rsidRPr="00536FB6" w:rsidRDefault="00536FB6" w:rsidP="007F4FFE">
      <w:pPr>
        <w:spacing w:after="120"/>
        <w:rPr>
          <w:rFonts w:ascii="Cambria" w:hAnsi="Cambria"/>
          <w:b/>
        </w:rPr>
      </w:pPr>
      <w:r w:rsidRPr="00536FB6">
        <w:rPr>
          <w:rFonts w:ascii="Cambria" w:hAnsi="Cambria"/>
          <w:b/>
        </w:rPr>
        <w:t>Investimenti fissi lordi per branca proprietaria nel Mezzogiorno e nel Centro-Nord (2000-2016)</w:t>
      </w:r>
    </w:p>
    <w:p w:rsidR="00011DF5" w:rsidRPr="00F464F0" w:rsidRDefault="00536FB6" w:rsidP="007F4FFE">
      <w:pPr>
        <w:shd w:val="clear" w:color="auto" w:fill="FFFFFF"/>
        <w:spacing w:after="120"/>
        <w:rPr>
          <w:rFonts w:ascii="Helvetica" w:eastAsia="Times New Roman" w:hAnsi="Helvetica"/>
          <w:b/>
          <w:sz w:val="18"/>
          <w:szCs w:val="18"/>
          <w:lang w:eastAsia="it-IT"/>
        </w:rPr>
      </w:pPr>
      <w:r>
        <w:rPr>
          <w:rFonts w:ascii="Helvetica" w:eastAsia="Times New Roman" w:hAnsi="Helvetica"/>
          <w:b/>
          <w:noProof/>
          <w:sz w:val="18"/>
          <w:szCs w:val="18"/>
          <w:lang w:eastAsia="it-IT"/>
        </w:rPr>
        <w:drawing>
          <wp:inline distT="0" distB="0" distL="0" distR="0">
            <wp:extent cx="6115685" cy="1477645"/>
            <wp:effectExtent l="19050" t="0" r="0" b="0"/>
            <wp:docPr id="2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115685" cy="1477645"/>
                    </a:xfrm>
                    <a:prstGeom prst="rect">
                      <a:avLst/>
                    </a:prstGeom>
                    <a:noFill/>
                    <a:ln w="9525">
                      <a:noFill/>
                      <a:miter lim="800000"/>
                      <a:headEnd/>
                      <a:tailEnd/>
                    </a:ln>
                  </pic:spPr>
                </pic:pic>
              </a:graphicData>
            </a:graphic>
          </wp:inline>
        </w:drawing>
      </w:r>
    </w:p>
    <w:p w:rsidR="00536FB6" w:rsidRDefault="00536FB6" w:rsidP="00536FB6">
      <w:pPr>
        <w:autoSpaceDE w:val="0"/>
        <w:autoSpaceDN w:val="0"/>
        <w:adjustRightInd w:val="0"/>
        <w:jc w:val="left"/>
        <w:rPr>
          <w:rFonts w:ascii="HelveticaLTStd-Cond" w:hAnsi="HelveticaLTStd-Cond" w:cs="HelveticaLTStd-Cond"/>
          <w:sz w:val="18"/>
          <w:szCs w:val="18"/>
          <w:lang w:eastAsia="it-IT"/>
        </w:rPr>
      </w:pPr>
      <w:r>
        <w:rPr>
          <w:rFonts w:ascii="HelveticaLTStd-Cond" w:hAnsi="HelveticaLTStd-Cond" w:cs="HelveticaLTStd-Cond"/>
          <w:sz w:val="18"/>
          <w:szCs w:val="18"/>
          <w:lang w:eastAsia="it-IT"/>
        </w:rPr>
        <w:t>* Variazione calcolata su valori concatenati (anno di riferimento 2010).</w:t>
      </w:r>
    </w:p>
    <w:p w:rsidR="00011DF5" w:rsidRPr="00F464F0" w:rsidRDefault="00536FB6" w:rsidP="00536FB6">
      <w:pPr>
        <w:shd w:val="clear" w:color="auto" w:fill="FFFFFF"/>
        <w:spacing w:after="120"/>
        <w:rPr>
          <w:rFonts w:ascii="Helvetica" w:eastAsia="Times New Roman" w:hAnsi="Helvetica"/>
          <w:b/>
          <w:sz w:val="18"/>
          <w:szCs w:val="18"/>
          <w:lang w:eastAsia="it-IT"/>
        </w:rPr>
      </w:pPr>
      <w:r>
        <w:rPr>
          <w:rFonts w:ascii="HelveticaLTStd-Cond" w:hAnsi="HelveticaLTStd-Cond" w:cs="HelveticaLTStd-Cond"/>
          <w:sz w:val="18"/>
          <w:szCs w:val="18"/>
          <w:lang w:eastAsia="it-IT"/>
        </w:rPr>
        <w:t xml:space="preserve">Fonte: elaborazione Confindustria e SRM su dati </w:t>
      </w:r>
      <w:proofErr w:type="spellStart"/>
      <w:r>
        <w:rPr>
          <w:rFonts w:ascii="HelveticaLTStd-Cond" w:hAnsi="HelveticaLTStd-Cond" w:cs="HelveticaLTStd-Cond"/>
          <w:sz w:val="18"/>
          <w:szCs w:val="18"/>
          <w:lang w:eastAsia="it-IT"/>
        </w:rPr>
        <w:t>Svimez</w:t>
      </w:r>
      <w:proofErr w:type="spellEnd"/>
    </w:p>
    <w:p w:rsidR="00FD16D3" w:rsidRDefault="00FD16D3" w:rsidP="007F4FFE">
      <w:pPr>
        <w:shd w:val="clear" w:color="auto" w:fill="FFFFFF"/>
        <w:spacing w:after="120"/>
        <w:rPr>
          <w:rFonts w:asciiTheme="majorHAnsi" w:hAnsiTheme="majorHAnsi"/>
          <w:b/>
        </w:rPr>
      </w:pPr>
    </w:p>
    <w:p w:rsidR="00E07361" w:rsidRDefault="00E07361" w:rsidP="007F4FFE">
      <w:pPr>
        <w:shd w:val="clear" w:color="auto" w:fill="FFFFFF"/>
        <w:spacing w:after="120"/>
        <w:rPr>
          <w:rFonts w:asciiTheme="majorHAnsi" w:hAnsiTheme="majorHAnsi"/>
          <w:b/>
        </w:rPr>
      </w:pPr>
    </w:p>
    <w:p w:rsidR="00E07361" w:rsidRDefault="00E07361" w:rsidP="007F4FFE">
      <w:pPr>
        <w:shd w:val="clear" w:color="auto" w:fill="FFFFFF"/>
        <w:spacing w:after="120"/>
        <w:rPr>
          <w:rFonts w:asciiTheme="majorHAnsi" w:hAnsiTheme="majorHAnsi"/>
          <w:b/>
        </w:rPr>
      </w:pPr>
    </w:p>
    <w:p w:rsidR="00E07361" w:rsidRPr="00E07361" w:rsidRDefault="00E07361" w:rsidP="00E07361">
      <w:pPr>
        <w:shd w:val="clear" w:color="auto" w:fill="FFFFFF"/>
        <w:spacing w:after="120"/>
        <w:rPr>
          <w:rFonts w:asciiTheme="majorHAnsi" w:hAnsiTheme="majorHAnsi"/>
          <w:b/>
        </w:rPr>
      </w:pPr>
      <w:r w:rsidRPr="00E07361">
        <w:rPr>
          <w:rFonts w:asciiTheme="majorHAnsi" w:hAnsiTheme="majorHAnsi"/>
          <w:b/>
        </w:rPr>
        <w:t>Imprese attive e società di capitali nelle regioni meridionali, III trimestre 2016 e 2017 (valori</w:t>
      </w:r>
    </w:p>
    <w:p w:rsidR="00E07361" w:rsidRPr="00E07361" w:rsidRDefault="00E07361" w:rsidP="00E07361">
      <w:pPr>
        <w:shd w:val="clear" w:color="auto" w:fill="FFFFFF"/>
        <w:spacing w:after="120"/>
        <w:rPr>
          <w:rFonts w:asciiTheme="majorHAnsi" w:hAnsiTheme="majorHAnsi"/>
          <w:b/>
        </w:rPr>
      </w:pPr>
      <w:r w:rsidRPr="00E07361">
        <w:rPr>
          <w:rFonts w:asciiTheme="majorHAnsi" w:hAnsiTheme="majorHAnsi"/>
          <w:b/>
        </w:rPr>
        <w:t>assoluti e variazioni percentuali)</w:t>
      </w:r>
    </w:p>
    <w:p w:rsidR="00E07361" w:rsidRDefault="00E07361" w:rsidP="007F4FFE">
      <w:pPr>
        <w:shd w:val="clear" w:color="auto" w:fill="FFFFFF"/>
        <w:spacing w:after="120"/>
        <w:rPr>
          <w:rFonts w:asciiTheme="majorHAnsi" w:hAnsiTheme="majorHAnsi"/>
          <w:b/>
        </w:rPr>
      </w:pPr>
      <w:r>
        <w:rPr>
          <w:rFonts w:ascii="HelveticaLTStd-Cond" w:hAnsi="HelveticaLTStd-Cond" w:cs="HelveticaLTStd-Cond"/>
          <w:color w:val="FFFFFF"/>
          <w:sz w:val="18"/>
          <w:szCs w:val="18"/>
          <w:lang w:eastAsia="it-IT"/>
        </w:rPr>
        <w:t>Imprese</w:t>
      </w:r>
      <w:r>
        <w:rPr>
          <w:rFonts w:asciiTheme="majorHAnsi" w:hAnsiTheme="majorHAnsi"/>
          <w:b/>
          <w:noProof/>
          <w:lang w:eastAsia="it-IT"/>
        </w:rPr>
        <w:drawing>
          <wp:inline distT="0" distB="0" distL="0" distR="0">
            <wp:extent cx="6108065" cy="2238375"/>
            <wp:effectExtent l="19050" t="0" r="6985" b="0"/>
            <wp:docPr id="1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108065" cy="2238375"/>
                    </a:xfrm>
                    <a:prstGeom prst="rect">
                      <a:avLst/>
                    </a:prstGeom>
                    <a:noFill/>
                    <a:ln w="9525">
                      <a:noFill/>
                      <a:miter lim="800000"/>
                      <a:headEnd/>
                      <a:tailEnd/>
                    </a:ln>
                  </pic:spPr>
                </pic:pic>
              </a:graphicData>
            </a:graphic>
          </wp:inline>
        </w:drawing>
      </w:r>
    </w:p>
    <w:p w:rsidR="00E07361" w:rsidRDefault="00E07361" w:rsidP="007F4FFE">
      <w:pPr>
        <w:shd w:val="clear" w:color="auto" w:fill="FFFFFF"/>
        <w:spacing w:after="120"/>
        <w:rPr>
          <w:rFonts w:asciiTheme="majorHAnsi" w:hAnsiTheme="majorHAnsi"/>
          <w:b/>
        </w:rPr>
      </w:pPr>
      <w:r>
        <w:rPr>
          <w:rFonts w:ascii="HelveticaLTStd-Cond" w:hAnsi="HelveticaLTStd-Cond" w:cs="HelveticaLTStd-Cond"/>
          <w:sz w:val="18"/>
          <w:szCs w:val="18"/>
          <w:lang w:eastAsia="it-IT"/>
        </w:rPr>
        <w:t xml:space="preserve">Fonte: elaborazione Confindustria e SRM su dati </w:t>
      </w:r>
      <w:proofErr w:type="spellStart"/>
      <w:r>
        <w:rPr>
          <w:rFonts w:ascii="HelveticaLTStd-Cond" w:hAnsi="HelveticaLTStd-Cond" w:cs="HelveticaLTStd-Cond"/>
          <w:sz w:val="18"/>
          <w:szCs w:val="18"/>
          <w:lang w:eastAsia="it-IT"/>
        </w:rPr>
        <w:t>Movimprese</w:t>
      </w:r>
      <w:proofErr w:type="spellEnd"/>
    </w:p>
    <w:p w:rsidR="00120D08" w:rsidRDefault="00AD4C90" w:rsidP="007F4FFE">
      <w:pPr>
        <w:shd w:val="clear" w:color="auto" w:fill="FFFFFF"/>
        <w:spacing w:after="120"/>
        <w:rPr>
          <w:rFonts w:asciiTheme="majorHAnsi" w:hAnsiTheme="majorHAnsi"/>
          <w:b/>
        </w:rPr>
      </w:pPr>
      <w:r w:rsidRPr="00AD4C90">
        <w:rPr>
          <w:rFonts w:asciiTheme="majorHAnsi" w:hAnsiTheme="majorHAnsi"/>
          <w:b/>
        </w:rPr>
        <w:t xml:space="preserve">Domanda e offerta di credito delle imprese nel Mezzogiorno – I. di diffusione* (I </w:t>
      </w:r>
      <w:proofErr w:type="spellStart"/>
      <w:r w:rsidRPr="00AD4C90">
        <w:rPr>
          <w:rFonts w:asciiTheme="majorHAnsi" w:hAnsiTheme="majorHAnsi"/>
          <w:b/>
        </w:rPr>
        <w:t>sem</w:t>
      </w:r>
      <w:proofErr w:type="spellEnd"/>
      <w:r w:rsidRPr="00AD4C90">
        <w:rPr>
          <w:rFonts w:asciiTheme="majorHAnsi" w:hAnsiTheme="majorHAnsi"/>
          <w:b/>
        </w:rPr>
        <w:t xml:space="preserve">. ‘09 – </w:t>
      </w:r>
      <w:r w:rsidR="00E07361">
        <w:rPr>
          <w:rFonts w:asciiTheme="majorHAnsi" w:hAnsiTheme="majorHAnsi"/>
          <w:b/>
        </w:rPr>
        <w:t xml:space="preserve">II </w:t>
      </w:r>
      <w:proofErr w:type="spellStart"/>
      <w:r w:rsidRPr="00AD4C90">
        <w:rPr>
          <w:rFonts w:asciiTheme="majorHAnsi" w:hAnsiTheme="majorHAnsi"/>
          <w:b/>
        </w:rPr>
        <w:t>sem</w:t>
      </w:r>
      <w:proofErr w:type="spellEnd"/>
      <w:r w:rsidRPr="00AD4C90">
        <w:rPr>
          <w:rFonts w:asciiTheme="majorHAnsi" w:hAnsiTheme="majorHAnsi"/>
          <w:b/>
        </w:rPr>
        <w:t>. ‘16)</w:t>
      </w:r>
    </w:p>
    <w:p w:rsidR="00234F4D" w:rsidRPr="00AD4C90" w:rsidRDefault="00E07361" w:rsidP="007F4FFE">
      <w:pPr>
        <w:shd w:val="clear" w:color="auto" w:fill="FFFFFF"/>
        <w:spacing w:after="120"/>
        <w:rPr>
          <w:rFonts w:asciiTheme="majorHAnsi" w:hAnsiTheme="majorHAnsi"/>
          <w:b/>
        </w:rPr>
      </w:pPr>
      <w:r>
        <w:rPr>
          <w:rFonts w:asciiTheme="majorHAnsi" w:hAnsiTheme="majorHAnsi"/>
          <w:b/>
          <w:noProof/>
          <w:lang w:eastAsia="it-IT"/>
        </w:rPr>
        <w:drawing>
          <wp:inline distT="0" distB="0" distL="0" distR="0">
            <wp:extent cx="6115685" cy="2940685"/>
            <wp:effectExtent l="19050" t="0" r="0" b="0"/>
            <wp:docPr id="1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6115685" cy="2940685"/>
                    </a:xfrm>
                    <a:prstGeom prst="rect">
                      <a:avLst/>
                    </a:prstGeom>
                    <a:noFill/>
                    <a:ln w="9525">
                      <a:noFill/>
                      <a:miter lim="800000"/>
                      <a:headEnd/>
                      <a:tailEnd/>
                    </a:ln>
                  </pic:spPr>
                </pic:pic>
              </a:graphicData>
            </a:graphic>
          </wp:inline>
        </w:drawing>
      </w:r>
    </w:p>
    <w:p w:rsidR="00AD4C90" w:rsidRPr="00275DB1" w:rsidRDefault="00AD4C90" w:rsidP="007F4FFE">
      <w:pPr>
        <w:spacing w:after="120"/>
        <w:rPr>
          <w:rFonts w:asciiTheme="majorHAnsi" w:eastAsia="Times New Roman" w:hAnsiTheme="majorHAnsi"/>
          <w:sz w:val="18"/>
          <w:szCs w:val="18"/>
          <w:lang w:eastAsia="it-IT"/>
        </w:rPr>
      </w:pPr>
    </w:p>
    <w:p w:rsidR="00AD4C90" w:rsidRPr="00AD4C90" w:rsidRDefault="00AD4C90" w:rsidP="007F4FFE">
      <w:pPr>
        <w:spacing w:after="120"/>
        <w:rPr>
          <w:rFonts w:asciiTheme="majorHAnsi" w:eastAsia="Times New Roman" w:hAnsiTheme="majorHAnsi"/>
          <w:sz w:val="18"/>
          <w:szCs w:val="18"/>
          <w:lang w:eastAsia="it-IT"/>
        </w:rPr>
      </w:pPr>
      <w:r w:rsidRPr="00AD4C90">
        <w:rPr>
          <w:rFonts w:asciiTheme="majorHAnsi" w:eastAsia="Times New Roman" w:hAnsiTheme="majorHAnsi"/>
          <w:sz w:val="18"/>
          <w:szCs w:val="18"/>
          <w:lang w:eastAsia="it-IT"/>
        </w:rPr>
        <w:t>* Indici di diffusione</w:t>
      </w:r>
      <w:r w:rsidR="00275DB1">
        <w:rPr>
          <w:rFonts w:asciiTheme="majorHAnsi" w:eastAsia="Times New Roman" w:hAnsiTheme="majorHAnsi"/>
          <w:sz w:val="18"/>
          <w:szCs w:val="18"/>
          <w:lang w:eastAsia="it-IT"/>
        </w:rPr>
        <w:t xml:space="preserve"> </w:t>
      </w:r>
      <w:r w:rsidRPr="00275DB1">
        <w:rPr>
          <w:rFonts w:asciiTheme="majorHAnsi" w:eastAsia="Times New Roman" w:hAnsiTheme="majorHAnsi"/>
          <w:sz w:val="18"/>
          <w:szCs w:val="18"/>
          <w:lang w:eastAsia="it-IT"/>
        </w:rPr>
        <w:t>a</w:t>
      </w:r>
      <w:r w:rsidRPr="00AD4C90">
        <w:rPr>
          <w:rFonts w:asciiTheme="majorHAnsi" w:eastAsia="Times New Roman" w:hAnsiTheme="majorHAnsi"/>
          <w:sz w:val="18"/>
          <w:szCs w:val="18"/>
          <w:lang w:eastAsia="it-IT"/>
        </w:rPr>
        <w:t>: espansione (+); contrazione (-) della domanda di credito;</w:t>
      </w:r>
    </w:p>
    <w:p w:rsidR="00AD4C90" w:rsidRDefault="00AD4C90" w:rsidP="007F4FFE">
      <w:pPr>
        <w:spacing w:after="120"/>
        <w:rPr>
          <w:rFonts w:asciiTheme="majorHAnsi" w:eastAsia="Times New Roman" w:hAnsiTheme="majorHAnsi"/>
          <w:sz w:val="18"/>
          <w:szCs w:val="18"/>
          <w:lang w:eastAsia="it-IT"/>
        </w:rPr>
      </w:pPr>
      <w:r w:rsidRPr="00AD4C90">
        <w:rPr>
          <w:rFonts w:asciiTheme="majorHAnsi" w:eastAsia="Times New Roman" w:hAnsiTheme="majorHAnsi"/>
          <w:sz w:val="18"/>
          <w:szCs w:val="18"/>
          <w:lang w:eastAsia="it-IT"/>
        </w:rPr>
        <w:t>* Indici di diffusione</w:t>
      </w:r>
      <w:r w:rsidR="00275DB1">
        <w:rPr>
          <w:rFonts w:asciiTheme="majorHAnsi" w:eastAsia="Times New Roman" w:hAnsiTheme="majorHAnsi"/>
          <w:sz w:val="18"/>
          <w:szCs w:val="18"/>
          <w:lang w:eastAsia="it-IT"/>
        </w:rPr>
        <w:t xml:space="preserve"> </w:t>
      </w:r>
      <w:r w:rsidR="00275DB1" w:rsidRPr="00275DB1">
        <w:rPr>
          <w:rFonts w:asciiTheme="majorHAnsi" w:eastAsia="Times New Roman" w:hAnsiTheme="majorHAnsi"/>
          <w:sz w:val="18"/>
          <w:szCs w:val="18"/>
          <w:lang w:eastAsia="it-IT"/>
        </w:rPr>
        <w:t>b</w:t>
      </w:r>
      <w:r w:rsidRPr="00AD4C90">
        <w:rPr>
          <w:rFonts w:asciiTheme="majorHAnsi" w:eastAsia="Times New Roman" w:hAnsiTheme="majorHAnsi"/>
          <w:sz w:val="18"/>
          <w:szCs w:val="18"/>
          <w:lang w:eastAsia="it-IT"/>
        </w:rPr>
        <w:t>: irrigidimento (+); allentamento (-) delle condizioni praticate per l’offerta di credito</w:t>
      </w:r>
    </w:p>
    <w:p w:rsidR="00275DB1" w:rsidRPr="00275DB1" w:rsidRDefault="00275DB1" w:rsidP="007F4FFE">
      <w:pPr>
        <w:spacing w:after="120"/>
        <w:rPr>
          <w:rFonts w:asciiTheme="majorHAnsi" w:eastAsia="Times New Roman" w:hAnsiTheme="majorHAnsi"/>
          <w:sz w:val="18"/>
          <w:szCs w:val="18"/>
          <w:lang w:eastAsia="it-IT"/>
        </w:rPr>
      </w:pPr>
      <w:r w:rsidRPr="00275DB1">
        <w:rPr>
          <w:rFonts w:asciiTheme="majorHAnsi" w:eastAsia="Times New Roman" w:hAnsiTheme="majorHAnsi"/>
          <w:sz w:val="18"/>
          <w:szCs w:val="18"/>
          <w:vertAlign w:val="superscript"/>
          <w:lang w:eastAsia="it-IT"/>
        </w:rPr>
        <w:t>a</w:t>
      </w:r>
      <w:r w:rsidRPr="00275DB1">
        <w:rPr>
          <w:rFonts w:asciiTheme="majorHAnsi" w:eastAsia="Times New Roman" w:hAnsiTheme="majorHAnsi"/>
          <w:sz w:val="18"/>
          <w:szCs w:val="18"/>
          <w:lang w:eastAsia="it-IT"/>
        </w:rPr>
        <w:t xml:space="preserve"> Valori positivi dell’indice segnalano una crescita della domanda; valori negativi una flessione. L’indice di diffusione è costruito aggregando le risposte qualitative fornite dalle banche partecipanti all’indagine sulla base dei prestiti erogati alle imprese residenti nell’area geografica. Ha un campo di variazione compreso tra -1 e 1. </w:t>
      </w:r>
      <w:r w:rsidRPr="00275DB1">
        <w:rPr>
          <w:rFonts w:asciiTheme="majorHAnsi" w:eastAsia="Times New Roman" w:hAnsiTheme="majorHAnsi"/>
          <w:sz w:val="18"/>
          <w:szCs w:val="18"/>
          <w:vertAlign w:val="superscript"/>
          <w:lang w:eastAsia="it-IT"/>
        </w:rPr>
        <w:t xml:space="preserve">b </w:t>
      </w:r>
      <w:r w:rsidRPr="00275DB1">
        <w:rPr>
          <w:rFonts w:asciiTheme="majorHAnsi" w:eastAsia="Times New Roman" w:hAnsiTheme="majorHAnsi"/>
          <w:sz w:val="18"/>
          <w:szCs w:val="18"/>
          <w:lang w:eastAsia="it-IT"/>
        </w:rPr>
        <w:t>Valori positivi dell’indice segnalano un irrigidimento dell’offerta; valori negativi un allentamento. L’indice di diffusione è costruito aggregando le risposte qualitative fornite dalle banche partecipanti all’indagine sulla base dei prestiti erogati alle imprese residenti nell’area geografica. Ha un campo di variazione compreso tra -1 e 1.</w:t>
      </w:r>
    </w:p>
    <w:p w:rsidR="00915918" w:rsidRPr="00AD4C90" w:rsidRDefault="00AD4C90" w:rsidP="007F4FFE">
      <w:pPr>
        <w:spacing w:after="120"/>
        <w:rPr>
          <w:rFonts w:asciiTheme="majorHAnsi" w:eastAsia="Times New Roman" w:hAnsiTheme="majorHAnsi"/>
          <w:sz w:val="18"/>
          <w:szCs w:val="18"/>
          <w:lang w:eastAsia="it-IT"/>
        </w:rPr>
      </w:pPr>
      <w:r w:rsidRPr="00AD4C90">
        <w:rPr>
          <w:rFonts w:asciiTheme="majorHAnsi" w:eastAsia="Times New Roman" w:hAnsiTheme="majorHAnsi"/>
          <w:sz w:val="18"/>
          <w:szCs w:val="18"/>
          <w:lang w:eastAsia="it-IT"/>
        </w:rPr>
        <w:t>Fonte: elaborazione SRM e Confindustria su dati Banca d’Italia, Economie regionali</w:t>
      </w:r>
    </w:p>
    <w:p w:rsidR="00AD4C90" w:rsidRDefault="00AD4C90" w:rsidP="007F4FFE">
      <w:pPr>
        <w:spacing w:after="120"/>
        <w:rPr>
          <w:rFonts w:asciiTheme="majorHAnsi" w:eastAsia="Times New Roman" w:hAnsiTheme="majorHAnsi"/>
          <w:sz w:val="18"/>
          <w:szCs w:val="18"/>
          <w:lang w:eastAsia="it-IT"/>
        </w:rPr>
      </w:pPr>
    </w:p>
    <w:p w:rsidR="00E07361" w:rsidRDefault="00E07361" w:rsidP="007F4FFE">
      <w:pPr>
        <w:spacing w:after="120"/>
        <w:rPr>
          <w:rFonts w:asciiTheme="majorHAnsi" w:eastAsia="Times New Roman" w:hAnsiTheme="majorHAnsi"/>
          <w:sz w:val="18"/>
          <w:szCs w:val="18"/>
          <w:lang w:eastAsia="it-IT"/>
        </w:rPr>
      </w:pPr>
    </w:p>
    <w:p w:rsidR="00E07361" w:rsidRDefault="00E07361" w:rsidP="007F4FFE">
      <w:pPr>
        <w:spacing w:after="120"/>
        <w:rPr>
          <w:rFonts w:asciiTheme="majorHAnsi" w:eastAsia="Times New Roman" w:hAnsiTheme="majorHAnsi"/>
          <w:sz w:val="18"/>
          <w:szCs w:val="18"/>
          <w:lang w:eastAsia="it-IT"/>
        </w:rPr>
      </w:pPr>
    </w:p>
    <w:p w:rsidR="00B96E5E" w:rsidRDefault="00B96E5E" w:rsidP="007F4FFE">
      <w:pPr>
        <w:spacing w:after="120"/>
        <w:rPr>
          <w:rFonts w:asciiTheme="majorHAnsi" w:eastAsia="Times New Roman" w:hAnsiTheme="majorHAnsi"/>
          <w:sz w:val="18"/>
          <w:szCs w:val="18"/>
          <w:lang w:eastAsia="it-IT"/>
        </w:rPr>
      </w:pPr>
    </w:p>
    <w:p w:rsidR="005B3F82" w:rsidRDefault="00AD4C90" w:rsidP="007F4FFE">
      <w:pPr>
        <w:shd w:val="clear" w:color="auto" w:fill="FFFFFF"/>
        <w:spacing w:after="120"/>
        <w:rPr>
          <w:rFonts w:asciiTheme="majorHAnsi" w:hAnsiTheme="majorHAnsi"/>
          <w:b/>
        </w:rPr>
      </w:pPr>
      <w:r w:rsidRPr="00AD4C90">
        <w:rPr>
          <w:rFonts w:asciiTheme="majorHAnsi" w:hAnsiTheme="majorHAnsi"/>
          <w:b/>
        </w:rPr>
        <w:t>Differenza del numero di occupati tra il I</w:t>
      </w:r>
      <w:r w:rsidR="009914C2">
        <w:rPr>
          <w:rFonts w:asciiTheme="majorHAnsi" w:hAnsiTheme="majorHAnsi"/>
          <w:b/>
        </w:rPr>
        <w:t>II</w:t>
      </w:r>
      <w:r w:rsidRPr="00AD4C90">
        <w:rPr>
          <w:rFonts w:asciiTheme="majorHAnsi" w:hAnsiTheme="majorHAnsi"/>
          <w:b/>
        </w:rPr>
        <w:t xml:space="preserve"> trim. 2016 ed il </w:t>
      </w:r>
      <w:r w:rsidR="009914C2">
        <w:rPr>
          <w:rFonts w:asciiTheme="majorHAnsi" w:hAnsiTheme="majorHAnsi"/>
          <w:b/>
        </w:rPr>
        <w:t>II</w:t>
      </w:r>
      <w:r w:rsidRPr="00AD4C90">
        <w:rPr>
          <w:rFonts w:asciiTheme="majorHAnsi" w:hAnsiTheme="majorHAnsi"/>
          <w:b/>
        </w:rPr>
        <w:t>I trim. 2017 (valori assoluti, in</w:t>
      </w:r>
      <w:r>
        <w:rPr>
          <w:rFonts w:asciiTheme="majorHAnsi" w:hAnsiTheme="majorHAnsi"/>
          <w:b/>
        </w:rPr>
        <w:t xml:space="preserve"> </w:t>
      </w:r>
      <w:r w:rsidRPr="00AD4C90">
        <w:rPr>
          <w:rFonts w:asciiTheme="majorHAnsi" w:hAnsiTheme="majorHAnsi"/>
          <w:b/>
        </w:rPr>
        <w:t>migliaia)</w:t>
      </w:r>
    </w:p>
    <w:p w:rsidR="00234F4D" w:rsidRPr="00AD4C90" w:rsidRDefault="009914C2" w:rsidP="007F4FFE">
      <w:pPr>
        <w:shd w:val="clear" w:color="auto" w:fill="FFFFFF"/>
        <w:spacing w:after="120"/>
        <w:rPr>
          <w:rFonts w:asciiTheme="majorHAnsi" w:hAnsiTheme="majorHAnsi"/>
          <w:b/>
        </w:rPr>
      </w:pPr>
      <w:r>
        <w:rPr>
          <w:rFonts w:asciiTheme="majorHAnsi" w:hAnsiTheme="majorHAnsi"/>
          <w:b/>
          <w:noProof/>
          <w:lang w:eastAsia="it-IT"/>
        </w:rPr>
        <w:drawing>
          <wp:inline distT="0" distB="0" distL="0" distR="0">
            <wp:extent cx="5065014" cy="3241167"/>
            <wp:effectExtent l="19050" t="0" r="2286"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064850" cy="3241062"/>
                    </a:xfrm>
                    <a:prstGeom prst="rect">
                      <a:avLst/>
                    </a:prstGeom>
                    <a:noFill/>
                    <a:ln w="9525">
                      <a:noFill/>
                      <a:miter lim="800000"/>
                      <a:headEnd/>
                      <a:tailEnd/>
                    </a:ln>
                  </pic:spPr>
                </pic:pic>
              </a:graphicData>
            </a:graphic>
          </wp:inline>
        </w:drawing>
      </w:r>
    </w:p>
    <w:p w:rsidR="005B3F82" w:rsidRPr="00F464F0" w:rsidRDefault="005B3F82" w:rsidP="007F4FFE">
      <w:pPr>
        <w:spacing w:after="120"/>
        <w:jc w:val="center"/>
        <w:rPr>
          <w:rFonts w:ascii="Helvetica" w:hAnsi="Helvetica"/>
          <w:noProof/>
          <w:lang w:eastAsia="it-IT"/>
        </w:rPr>
      </w:pPr>
    </w:p>
    <w:p w:rsidR="005B3F82" w:rsidRPr="00F464F0" w:rsidRDefault="005B3F82" w:rsidP="007F4FFE">
      <w:pPr>
        <w:spacing w:after="120"/>
        <w:rPr>
          <w:rFonts w:ascii="Helvetica" w:hAnsi="Helvetica"/>
          <w:sz w:val="18"/>
          <w:szCs w:val="18"/>
        </w:rPr>
      </w:pPr>
      <w:r w:rsidRPr="00AD4C90">
        <w:rPr>
          <w:rFonts w:asciiTheme="majorHAnsi" w:eastAsia="Times New Roman" w:hAnsiTheme="majorHAnsi"/>
          <w:sz w:val="18"/>
          <w:szCs w:val="18"/>
          <w:lang w:eastAsia="it-IT"/>
        </w:rPr>
        <w:t>Fonte: Elaborazione Confindustria e SRM su dati ISTAT</w:t>
      </w:r>
    </w:p>
    <w:p w:rsidR="00BC0014" w:rsidRPr="00AD4C90" w:rsidRDefault="00AD4C90" w:rsidP="007F4FFE">
      <w:pPr>
        <w:shd w:val="clear" w:color="auto" w:fill="FFFFFF"/>
        <w:spacing w:after="120"/>
        <w:rPr>
          <w:rFonts w:asciiTheme="majorHAnsi" w:hAnsiTheme="majorHAnsi"/>
          <w:b/>
        </w:rPr>
      </w:pPr>
      <w:r w:rsidRPr="00AD4C90">
        <w:rPr>
          <w:rFonts w:asciiTheme="majorHAnsi" w:hAnsiTheme="majorHAnsi"/>
          <w:b/>
        </w:rPr>
        <w:t xml:space="preserve">Incentivo occupazione Sud: istanze accolte e confermate per categoria di regione e genere </w:t>
      </w:r>
      <w:r w:rsidR="009914C2">
        <w:rPr>
          <w:rFonts w:asciiTheme="majorHAnsi" w:hAnsiTheme="majorHAnsi"/>
          <w:b/>
        </w:rPr>
        <w:t xml:space="preserve">ad agosto </w:t>
      </w:r>
      <w:r w:rsidRPr="00AD4C90">
        <w:rPr>
          <w:rFonts w:asciiTheme="majorHAnsi" w:hAnsiTheme="majorHAnsi"/>
          <w:b/>
        </w:rPr>
        <w:t>2017</w:t>
      </w:r>
    </w:p>
    <w:p w:rsidR="00A17EC7" w:rsidRDefault="00A17EC7" w:rsidP="007F4FFE">
      <w:pPr>
        <w:shd w:val="clear" w:color="auto" w:fill="FFFFFF"/>
        <w:spacing w:after="120"/>
        <w:rPr>
          <w:rFonts w:asciiTheme="majorHAnsi" w:hAnsiTheme="majorHAnsi"/>
          <w:b/>
        </w:rPr>
      </w:pPr>
      <w:r>
        <w:rPr>
          <w:rFonts w:ascii="Helvetica" w:hAnsi="Helvetica"/>
          <w:b/>
          <w:noProof/>
          <w:sz w:val="18"/>
          <w:szCs w:val="18"/>
          <w:lang w:eastAsia="it-IT"/>
        </w:rPr>
        <w:drawing>
          <wp:inline distT="0" distB="0" distL="0" distR="0">
            <wp:extent cx="6115685" cy="2202180"/>
            <wp:effectExtent l="19050" t="0" r="0" b="0"/>
            <wp:docPr id="2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6115685" cy="2202180"/>
                    </a:xfrm>
                    <a:prstGeom prst="rect">
                      <a:avLst/>
                    </a:prstGeom>
                    <a:noFill/>
                    <a:ln w="9525">
                      <a:noFill/>
                      <a:miter lim="800000"/>
                      <a:headEnd/>
                      <a:tailEnd/>
                    </a:ln>
                  </pic:spPr>
                </pic:pic>
              </a:graphicData>
            </a:graphic>
          </wp:inline>
        </w:drawing>
      </w:r>
    </w:p>
    <w:p w:rsidR="00A17EC7" w:rsidRDefault="00A17EC7" w:rsidP="007F4FFE">
      <w:pPr>
        <w:shd w:val="clear" w:color="auto" w:fill="FFFFFF"/>
        <w:spacing w:after="120"/>
        <w:rPr>
          <w:rFonts w:asciiTheme="majorHAnsi" w:hAnsiTheme="majorHAnsi"/>
          <w:b/>
        </w:rPr>
      </w:pPr>
      <w:r>
        <w:rPr>
          <w:rFonts w:ascii="HelveticaLTStd-Cond" w:hAnsi="HelveticaLTStd-Cond" w:cs="HelveticaLTStd-Cond"/>
          <w:sz w:val="18"/>
          <w:szCs w:val="18"/>
          <w:lang w:eastAsia="it-IT"/>
        </w:rPr>
        <w:t>Fonte: elaborazione Confindustria e SRM su dati INPS, Osservatorio sul precariato</w:t>
      </w:r>
    </w:p>
    <w:p w:rsidR="00A17EC7" w:rsidRDefault="00A17EC7" w:rsidP="007F4FFE">
      <w:pPr>
        <w:shd w:val="clear" w:color="auto" w:fill="FFFFFF"/>
        <w:spacing w:after="120"/>
        <w:rPr>
          <w:rFonts w:asciiTheme="majorHAnsi" w:hAnsiTheme="majorHAnsi"/>
          <w:b/>
        </w:rPr>
      </w:pPr>
    </w:p>
    <w:p w:rsidR="00A17EC7" w:rsidRDefault="00A17EC7" w:rsidP="007F4FFE">
      <w:pPr>
        <w:shd w:val="clear" w:color="auto" w:fill="FFFFFF"/>
        <w:spacing w:after="120"/>
        <w:rPr>
          <w:rFonts w:asciiTheme="majorHAnsi" w:hAnsiTheme="majorHAnsi"/>
          <w:b/>
        </w:rPr>
      </w:pPr>
    </w:p>
    <w:p w:rsidR="00A17EC7" w:rsidRDefault="00A17EC7" w:rsidP="007F4FFE">
      <w:pPr>
        <w:shd w:val="clear" w:color="auto" w:fill="FFFFFF"/>
        <w:spacing w:after="120"/>
        <w:rPr>
          <w:rFonts w:asciiTheme="majorHAnsi" w:hAnsiTheme="majorHAnsi"/>
          <w:b/>
        </w:rPr>
      </w:pPr>
    </w:p>
    <w:p w:rsidR="00A17EC7" w:rsidRDefault="00A17EC7" w:rsidP="007F4FFE">
      <w:pPr>
        <w:shd w:val="clear" w:color="auto" w:fill="FFFFFF"/>
        <w:spacing w:after="120"/>
        <w:rPr>
          <w:rFonts w:asciiTheme="majorHAnsi" w:hAnsiTheme="majorHAnsi"/>
          <w:b/>
        </w:rPr>
      </w:pPr>
    </w:p>
    <w:p w:rsidR="00A17EC7" w:rsidRDefault="00A17EC7" w:rsidP="007F4FFE">
      <w:pPr>
        <w:shd w:val="clear" w:color="auto" w:fill="FFFFFF"/>
        <w:spacing w:after="120"/>
        <w:rPr>
          <w:rFonts w:asciiTheme="majorHAnsi" w:hAnsiTheme="majorHAnsi"/>
          <w:b/>
        </w:rPr>
      </w:pPr>
    </w:p>
    <w:p w:rsidR="00A17EC7" w:rsidRDefault="00A17EC7" w:rsidP="007F4FFE">
      <w:pPr>
        <w:shd w:val="clear" w:color="auto" w:fill="FFFFFF"/>
        <w:spacing w:after="120"/>
        <w:rPr>
          <w:rFonts w:asciiTheme="majorHAnsi" w:hAnsiTheme="majorHAnsi"/>
          <w:b/>
        </w:rPr>
      </w:pPr>
    </w:p>
    <w:p w:rsidR="00A17EC7" w:rsidRDefault="00A17EC7" w:rsidP="007F4FFE">
      <w:pPr>
        <w:shd w:val="clear" w:color="auto" w:fill="FFFFFF"/>
        <w:spacing w:after="120"/>
        <w:rPr>
          <w:rFonts w:asciiTheme="majorHAnsi" w:hAnsiTheme="majorHAnsi"/>
          <w:b/>
        </w:rPr>
      </w:pPr>
    </w:p>
    <w:p w:rsidR="00A17EC7" w:rsidRDefault="00A17EC7" w:rsidP="007F4FFE">
      <w:pPr>
        <w:shd w:val="clear" w:color="auto" w:fill="FFFFFF"/>
        <w:spacing w:after="120"/>
        <w:rPr>
          <w:rFonts w:asciiTheme="majorHAnsi" w:hAnsiTheme="majorHAnsi"/>
          <w:b/>
        </w:rPr>
      </w:pPr>
    </w:p>
    <w:p w:rsidR="00966FC7" w:rsidRDefault="00966FC7" w:rsidP="007F4FFE">
      <w:pPr>
        <w:shd w:val="clear" w:color="auto" w:fill="FFFFFF"/>
        <w:spacing w:after="120"/>
        <w:rPr>
          <w:rFonts w:asciiTheme="majorHAnsi" w:hAnsiTheme="majorHAnsi"/>
          <w:b/>
        </w:rPr>
      </w:pPr>
    </w:p>
    <w:p w:rsidR="00260E29" w:rsidRPr="00260E29" w:rsidRDefault="00260E29" w:rsidP="007F4FFE">
      <w:pPr>
        <w:shd w:val="clear" w:color="auto" w:fill="FFFFFF"/>
        <w:spacing w:after="120"/>
        <w:rPr>
          <w:rFonts w:asciiTheme="majorHAnsi" w:hAnsiTheme="majorHAnsi"/>
          <w:b/>
        </w:rPr>
      </w:pPr>
      <w:r w:rsidRPr="00260E29">
        <w:rPr>
          <w:rFonts w:asciiTheme="majorHAnsi" w:hAnsiTheme="majorHAnsi"/>
          <w:b/>
        </w:rPr>
        <w:t>Le esportazioni nelle province meridionali (dati I</w:t>
      </w:r>
      <w:r w:rsidR="00BF3A18">
        <w:rPr>
          <w:rFonts w:asciiTheme="majorHAnsi" w:hAnsiTheme="majorHAnsi"/>
          <w:b/>
        </w:rPr>
        <w:t>II</w:t>
      </w:r>
      <w:r w:rsidRPr="00260E29">
        <w:rPr>
          <w:rFonts w:asciiTheme="majorHAnsi" w:hAnsiTheme="majorHAnsi"/>
          <w:b/>
        </w:rPr>
        <w:t xml:space="preserve"> trimestre 2016 – I</w:t>
      </w:r>
      <w:r w:rsidR="00BF3A18">
        <w:rPr>
          <w:rFonts w:asciiTheme="majorHAnsi" w:hAnsiTheme="majorHAnsi"/>
          <w:b/>
        </w:rPr>
        <w:t>II</w:t>
      </w:r>
      <w:r w:rsidRPr="00260E29">
        <w:rPr>
          <w:rFonts w:asciiTheme="majorHAnsi" w:hAnsiTheme="majorHAnsi"/>
          <w:b/>
        </w:rPr>
        <w:t xml:space="preserve"> trimestre 2017). Valori in</w:t>
      </w:r>
      <w:r w:rsidR="00BF3A18">
        <w:rPr>
          <w:rFonts w:asciiTheme="majorHAnsi" w:hAnsiTheme="majorHAnsi"/>
          <w:b/>
        </w:rPr>
        <w:t xml:space="preserve"> </w:t>
      </w:r>
      <w:r w:rsidRPr="00260E29">
        <w:rPr>
          <w:rFonts w:asciiTheme="majorHAnsi" w:hAnsiTheme="majorHAnsi"/>
          <w:b/>
        </w:rPr>
        <w:t>milioni di euro e in percentuale</w:t>
      </w:r>
    </w:p>
    <w:p w:rsidR="00260E29" w:rsidRDefault="00571B6E" w:rsidP="007F4FFE">
      <w:pPr>
        <w:spacing w:after="120"/>
        <w:jc w:val="center"/>
        <w:rPr>
          <w:rFonts w:ascii="Helvetica" w:hAnsi="Helvetica"/>
          <w:sz w:val="18"/>
          <w:szCs w:val="18"/>
        </w:rPr>
      </w:pPr>
      <w:r>
        <w:rPr>
          <w:rFonts w:ascii="Helvetica" w:hAnsi="Helvetica"/>
          <w:noProof/>
          <w:sz w:val="18"/>
          <w:szCs w:val="18"/>
          <w:lang w:eastAsia="it-IT"/>
        </w:rPr>
        <w:drawing>
          <wp:inline distT="0" distB="0" distL="0" distR="0">
            <wp:extent cx="6115685" cy="4352544"/>
            <wp:effectExtent l="19050" t="0" r="0" b="0"/>
            <wp:docPr id="3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115685" cy="4352544"/>
                    </a:xfrm>
                    <a:prstGeom prst="rect">
                      <a:avLst/>
                    </a:prstGeom>
                    <a:noFill/>
                    <a:ln w="9525">
                      <a:noFill/>
                      <a:miter lim="800000"/>
                      <a:headEnd/>
                      <a:tailEnd/>
                    </a:ln>
                  </pic:spPr>
                </pic:pic>
              </a:graphicData>
            </a:graphic>
          </wp:inline>
        </w:drawing>
      </w:r>
    </w:p>
    <w:p w:rsidR="00C11F7A" w:rsidRPr="00260E29" w:rsidRDefault="00C11F7A" w:rsidP="007F4FFE">
      <w:pPr>
        <w:spacing w:after="120"/>
        <w:rPr>
          <w:rFonts w:asciiTheme="majorHAnsi" w:eastAsia="Times New Roman" w:hAnsiTheme="majorHAnsi"/>
          <w:sz w:val="18"/>
          <w:szCs w:val="18"/>
          <w:lang w:eastAsia="it-IT"/>
        </w:rPr>
      </w:pPr>
      <w:r w:rsidRPr="00260E29">
        <w:rPr>
          <w:rFonts w:asciiTheme="majorHAnsi" w:eastAsia="Times New Roman" w:hAnsiTheme="majorHAnsi"/>
          <w:sz w:val="18"/>
          <w:szCs w:val="18"/>
          <w:lang w:eastAsia="it-IT"/>
        </w:rPr>
        <w:t xml:space="preserve">Fonte: Elaborazione Confindustria e SRM su dati </w:t>
      </w:r>
      <w:proofErr w:type="spellStart"/>
      <w:r w:rsidRPr="00260E29">
        <w:rPr>
          <w:rFonts w:asciiTheme="majorHAnsi" w:eastAsia="Times New Roman" w:hAnsiTheme="majorHAnsi"/>
          <w:sz w:val="18"/>
          <w:szCs w:val="18"/>
          <w:lang w:eastAsia="it-IT"/>
        </w:rPr>
        <w:t>Coeweb</w:t>
      </w:r>
      <w:proofErr w:type="spellEnd"/>
    </w:p>
    <w:p w:rsidR="009914C2" w:rsidRDefault="009914C2" w:rsidP="007F4FFE">
      <w:pPr>
        <w:shd w:val="clear" w:color="auto" w:fill="FFFFFF"/>
        <w:spacing w:after="120"/>
        <w:rPr>
          <w:rFonts w:asciiTheme="majorHAnsi" w:hAnsiTheme="majorHAnsi"/>
          <w:b/>
        </w:rPr>
      </w:pPr>
    </w:p>
    <w:p w:rsidR="009914C2" w:rsidRDefault="009914C2" w:rsidP="007F4FFE">
      <w:pPr>
        <w:shd w:val="clear" w:color="auto" w:fill="FFFFFF"/>
        <w:spacing w:after="120"/>
        <w:rPr>
          <w:rFonts w:asciiTheme="majorHAnsi" w:hAnsiTheme="majorHAnsi"/>
          <w:b/>
        </w:rPr>
      </w:pPr>
    </w:p>
    <w:p w:rsidR="009914C2" w:rsidRDefault="009914C2" w:rsidP="007F4FFE">
      <w:pPr>
        <w:shd w:val="clear" w:color="auto" w:fill="FFFFFF"/>
        <w:spacing w:after="120"/>
        <w:rPr>
          <w:rFonts w:asciiTheme="majorHAnsi" w:hAnsiTheme="majorHAnsi"/>
          <w:b/>
        </w:rPr>
      </w:pPr>
    </w:p>
    <w:p w:rsidR="009914C2" w:rsidRDefault="009914C2" w:rsidP="007F4FFE">
      <w:pPr>
        <w:shd w:val="clear" w:color="auto" w:fill="FFFFFF"/>
        <w:spacing w:after="120"/>
        <w:rPr>
          <w:rFonts w:asciiTheme="majorHAnsi" w:hAnsiTheme="majorHAnsi"/>
          <w:b/>
        </w:rPr>
      </w:pPr>
    </w:p>
    <w:p w:rsidR="009914C2" w:rsidRDefault="009914C2" w:rsidP="007F4FFE">
      <w:pPr>
        <w:shd w:val="clear" w:color="auto" w:fill="FFFFFF"/>
        <w:spacing w:after="120"/>
        <w:rPr>
          <w:rFonts w:asciiTheme="majorHAnsi" w:hAnsiTheme="majorHAnsi"/>
          <w:b/>
        </w:rPr>
      </w:pPr>
    </w:p>
    <w:p w:rsidR="009914C2" w:rsidRDefault="009914C2" w:rsidP="007F4FFE">
      <w:pPr>
        <w:shd w:val="clear" w:color="auto" w:fill="FFFFFF"/>
        <w:spacing w:after="120"/>
        <w:rPr>
          <w:rFonts w:asciiTheme="majorHAnsi" w:hAnsiTheme="majorHAnsi"/>
          <w:b/>
        </w:rPr>
      </w:pPr>
    </w:p>
    <w:p w:rsidR="009914C2" w:rsidRDefault="009914C2" w:rsidP="007F4FFE">
      <w:pPr>
        <w:shd w:val="clear" w:color="auto" w:fill="FFFFFF"/>
        <w:spacing w:after="120"/>
        <w:rPr>
          <w:rFonts w:asciiTheme="majorHAnsi" w:hAnsiTheme="majorHAnsi"/>
          <w:b/>
        </w:rPr>
      </w:pPr>
    </w:p>
    <w:p w:rsidR="009914C2" w:rsidRDefault="009914C2" w:rsidP="007F4FFE">
      <w:pPr>
        <w:shd w:val="clear" w:color="auto" w:fill="FFFFFF"/>
        <w:spacing w:after="120"/>
        <w:rPr>
          <w:rFonts w:asciiTheme="majorHAnsi" w:hAnsiTheme="majorHAnsi"/>
          <w:b/>
        </w:rPr>
      </w:pPr>
    </w:p>
    <w:p w:rsidR="009914C2" w:rsidRDefault="009914C2" w:rsidP="007F4FFE">
      <w:pPr>
        <w:shd w:val="clear" w:color="auto" w:fill="FFFFFF"/>
        <w:spacing w:after="120"/>
        <w:rPr>
          <w:rFonts w:asciiTheme="majorHAnsi" w:hAnsiTheme="majorHAnsi"/>
          <w:b/>
        </w:rPr>
      </w:pPr>
    </w:p>
    <w:p w:rsidR="009914C2" w:rsidRDefault="009914C2" w:rsidP="007F4FFE">
      <w:pPr>
        <w:shd w:val="clear" w:color="auto" w:fill="FFFFFF"/>
        <w:spacing w:after="120"/>
        <w:rPr>
          <w:rFonts w:asciiTheme="majorHAnsi" w:hAnsiTheme="majorHAnsi"/>
          <w:b/>
        </w:rPr>
      </w:pPr>
    </w:p>
    <w:p w:rsidR="009914C2" w:rsidRDefault="009914C2" w:rsidP="007F4FFE">
      <w:pPr>
        <w:shd w:val="clear" w:color="auto" w:fill="FFFFFF"/>
        <w:spacing w:after="120"/>
        <w:rPr>
          <w:rFonts w:asciiTheme="majorHAnsi" w:hAnsiTheme="majorHAnsi"/>
          <w:b/>
        </w:rPr>
      </w:pPr>
    </w:p>
    <w:p w:rsidR="009914C2" w:rsidRDefault="009914C2" w:rsidP="007F4FFE">
      <w:pPr>
        <w:shd w:val="clear" w:color="auto" w:fill="FFFFFF"/>
        <w:spacing w:after="120"/>
        <w:rPr>
          <w:rFonts w:asciiTheme="majorHAnsi" w:hAnsiTheme="majorHAnsi"/>
          <w:b/>
        </w:rPr>
      </w:pPr>
    </w:p>
    <w:p w:rsidR="009914C2" w:rsidRDefault="009914C2" w:rsidP="007F4FFE">
      <w:pPr>
        <w:shd w:val="clear" w:color="auto" w:fill="FFFFFF"/>
        <w:spacing w:after="120"/>
        <w:rPr>
          <w:rFonts w:asciiTheme="majorHAnsi" w:hAnsiTheme="majorHAnsi"/>
          <w:b/>
        </w:rPr>
      </w:pPr>
    </w:p>
    <w:p w:rsidR="009914C2" w:rsidRDefault="009914C2" w:rsidP="007F4FFE">
      <w:pPr>
        <w:shd w:val="clear" w:color="auto" w:fill="FFFFFF"/>
        <w:spacing w:after="120"/>
        <w:rPr>
          <w:rFonts w:asciiTheme="majorHAnsi" w:hAnsiTheme="majorHAnsi"/>
          <w:b/>
        </w:rPr>
      </w:pPr>
    </w:p>
    <w:p w:rsidR="00B96E5E" w:rsidRDefault="00B96E5E" w:rsidP="007F4FFE">
      <w:pPr>
        <w:shd w:val="clear" w:color="auto" w:fill="FFFFFF"/>
        <w:spacing w:after="120"/>
        <w:rPr>
          <w:rFonts w:asciiTheme="majorHAnsi" w:hAnsiTheme="majorHAnsi"/>
          <w:b/>
        </w:rPr>
      </w:pPr>
    </w:p>
    <w:p w:rsidR="00B96E5E" w:rsidRDefault="00B96E5E" w:rsidP="007F4FFE">
      <w:pPr>
        <w:shd w:val="clear" w:color="auto" w:fill="FFFFFF"/>
        <w:spacing w:after="120"/>
        <w:rPr>
          <w:rFonts w:asciiTheme="majorHAnsi" w:hAnsiTheme="majorHAnsi"/>
          <w:b/>
        </w:rPr>
      </w:pPr>
    </w:p>
    <w:p w:rsidR="009914C2" w:rsidRDefault="009914C2" w:rsidP="007F4FFE">
      <w:pPr>
        <w:shd w:val="clear" w:color="auto" w:fill="FFFFFF"/>
        <w:spacing w:after="120"/>
        <w:rPr>
          <w:rFonts w:asciiTheme="majorHAnsi" w:hAnsiTheme="majorHAnsi"/>
          <w:b/>
        </w:rPr>
      </w:pPr>
    </w:p>
    <w:p w:rsidR="00102BD0" w:rsidRDefault="00234F4D" w:rsidP="007F4FFE">
      <w:pPr>
        <w:shd w:val="clear" w:color="auto" w:fill="FFFFFF"/>
        <w:spacing w:after="120"/>
        <w:rPr>
          <w:rFonts w:asciiTheme="majorHAnsi" w:hAnsiTheme="majorHAnsi"/>
          <w:b/>
        </w:rPr>
      </w:pPr>
      <w:r w:rsidRPr="00C7144A">
        <w:rPr>
          <w:rFonts w:asciiTheme="majorHAnsi" w:hAnsiTheme="majorHAnsi"/>
          <w:b/>
        </w:rPr>
        <w:t>Esportazioni manifatturiere del Mezzogiorno per settore: I</w:t>
      </w:r>
      <w:r w:rsidR="0081210E">
        <w:rPr>
          <w:rFonts w:asciiTheme="majorHAnsi" w:hAnsiTheme="majorHAnsi"/>
          <w:b/>
        </w:rPr>
        <w:t>II</w:t>
      </w:r>
      <w:r w:rsidRPr="00C7144A">
        <w:rPr>
          <w:rFonts w:asciiTheme="majorHAnsi" w:hAnsiTheme="majorHAnsi"/>
          <w:b/>
        </w:rPr>
        <w:t xml:space="preserve"> trimestre 2017 (valori cumulati in</w:t>
      </w:r>
      <w:r>
        <w:rPr>
          <w:rFonts w:asciiTheme="majorHAnsi" w:hAnsiTheme="majorHAnsi"/>
          <w:b/>
        </w:rPr>
        <w:t xml:space="preserve"> </w:t>
      </w:r>
    </w:p>
    <w:p w:rsidR="00234F4D" w:rsidRDefault="00234F4D" w:rsidP="007F4FFE">
      <w:pPr>
        <w:shd w:val="clear" w:color="auto" w:fill="FFFFFF"/>
        <w:spacing w:after="120"/>
        <w:rPr>
          <w:rFonts w:asciiTheme="majorHAnsi" w:hAnsiTheme="majorHAnsi"/>
          <w:b/>
        </w:rPr>
      </w:pPr>
      <w:r w:rsidRPr="00C7144A">
        <w:rPr>
          <w:rFonts w:asciiTheme="majorHAnsi" w:hAnsiTheme="majorHAnsi"/>
          <w:b/>
        </w:rPr>
        <w:t>miliardi di euro e variazione percentuale)</w:t>
      </w:r>
    </w:p>
    <w:p w:rsidR="00234F4D" w:rsidRPr="00F464F0" w:rsidRDefault="0081210E" w:rsidP="007F4FFE">
      <w:pPr>
        <w:spacing w:after="120"/>
        <w:rPr>
          <w:rFonts w:ascii="Helvetica" w:hAnsi="Helvetica"/>
          <w:sz w:val="18"/>
          <w:szCs w:val="18"/>
        </w:rPr>
      </w:pPr>
      <w:r>
        <w:rPr>
          <w:rFonts w:asciiTheme="majorHAnsi" w:eastAsia="Times New Roman" w:hAnsiTheme="majorHAnsi"/>
          <w:noProof/>
          <w:sz w:val="18"/>
          <w:szCs w:val="18"/>
          <w:lang w:eastAsia="it-IT"/>
        </w:rPr>
        <w:drawing>
          <wp:inline distT="0" distB="0" distL="0" distR="0">
            <wp:extent cx="6115685" cy="3255010"/>
            <wp:effectExtent l="19050" t="0" r="0" b="0"/>
            <wp:docPr id="3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6115685" cy="3255010"/>
                    </a:xfrm>
                    <a:prstGeom prst="rect">
                      <a:avLst/>
                    </a:prstGeom>
                    <a:noFill/>
                    <a:ln w="9525">
                      <a:noFill/>
                      <a:miter lim="800000"/>
                      <a:headEnd/>
                      <a:tailEnd/>
                    </a:ln>
                  </pic:spPr>
                </pic:pic>
              </a:graphicData>
            </a:graphic>
          </wp:inline>
        </w:drawing>
      </w:r>
      <w:r w:rsidR="00234F4D" w:rsidRPr="00C7144A">
        <w:rPr>
          <w:rFonts w:asciiTheme="majorHAnsi" w:eastAsia="Times New Roman" w:hAnsiTheme="majorHAnsi"/>
          <w:sz w:val="18"/>
          <w:szCs w:val="18"/>
          <w:lang w:eastAsia="it-IT"/>
        </w:rPr>
        <w:t>Fonte: Elaborazione Confindustria e SRM su dati Istat</w:t>
      </w:r>
    </w:p>
    <w:p w:rsidR="00234F4D" w:rsidRDefault="00234F4D" w:rsidP="007F4FFE">
      <w:pPr>
        <w:shd w:val="clear" w:color="auto" w:fill="FFFFFF"/>
        <w:spacing w:after="120"/>
        <w:rPr>
          <w:rFonts w:asciiTheme="majorHAnsi" w:hAnsiTheme="majorHAnsi"/>
          <w:b/>
        </w:rPr>
      </w:pPr>
    </w:p>
    <w:p w:rsidR="003E4FC7" w:rsidRPr="003E4FC7" w:rsidRDefault="003E4FC7" w:rsidP="007F4FFE">
      <w:pPr>
        <w:shd w:val="clear" w:color="auto" w:fill="FFFFFF"/>
        <w:spacing w:after="120"/>
        <w:rPr>
          <w:rFonts w:asciiTheme="majorHAnsi" w:hAnsiTheme="majorHAnsi"/>
          <w:b/>
        </w:rPr>
      </w:pPr>
      <w:r w:rsidRPr="003E4FC7">
        <w:rPr>
          <w:rFonts w:asciiTheme="majorHAnsi" w:hAnsiTheme="majorHAnsi"/>
          <w:b/>
        </w:rPr>
        <w:t>Distribuzione regionale delle imprese che hanno aderito ad un contratto di rete (</w:t>
      </w:r>
      <w:r w:rsidR="00432E86">
        <w:rPr>
          <w:rFonts w:asciiTheme="majorHAnsi" w:hAnsiTheme="majorHAnsi"/>
          <w:b/>
        </w:rPr>
        <w:t>dicembre</w:t>
      </w:r>
      <w:r w:rsidRPr="003E4FC7">
        <w:rPr>
          <w:rFonts w:asciiTheme="majorHAnsi" w:hAnsiTheme="majorHAnsi"/>
          <w:b/>
        </w:rPr>
        <w:t xml:space="preserve"> 2017)</w:t>
      </w:r>
    </w:p>
    <w:p w:rsidR="003E4FC7" w:rsidRDefault="00432E86" w:rsidP="00432E86">
      <w:pPr>
        <w:spacing w:after="120"/>
        <w:jc w:val="center"/>
        <w:rPr>
          <w:rFonts w:ascii="Helvetica" w:hAnsi="Helvetica"/>
          <w:b/>
          <w:color w:val="1F497D"/>
        </w:rPr>
      </w:pPr>
      <w:r>
        <w:rPr>
          <w:rFonts w:ascii="Helvetica" w:hAnsi="Helvetica"/>
          <w:b/>
          <w:noProof/>
          <w:color w:val="1F497D"/>
          <w:lang w:eastAsia="it-IT"/>
        </w:rPr>
        <w:drawing>
          <wp:inline distT="0" distB="0" distL="0" distR="0">
            <wp:extent cx="4623562" cy="2377440"/>
            <wp:effectExtent l="19050" t="0" r="5588" b="0"/>
            <wp:docPr id="3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625952" cy="2378669"/>
                    </a:xfrm>
                    <a:prstGeom prst="rect">
                      <a:avLst/>
                    </a:prstGeom>
                    <a:noFill/>
                    <a:ln w="9525">
                      <a:noFill/>
                      <a:miter lim="800000"/>
                      <a:headEnd/>
                      <a:tailEnd/>
                    </a:ln>
                  </pic:spPr>
                </pic:pic>
              </a:graphicData>
            </a:graphic>
          </wp:inline>
        </w:drawing>
      </w:r>
    </w:p>
    <w:p w:rsidR="003E4FC7" w:rsidRDefault="003E4FC7" w:rsidP="007F4FFE">
      <w:pPr>
        <w:spacing w:after="120"/>
        <w:rPr>
          <w:rFonts w:asciiTheme="majorHAnsi" w:eastAsia="Times New Roman" w:hAnsiTheme="majorHAnsi"/>
          <w:sz w:val="18"/>
          <w:szCs w:val="18"/>
          <w:lang w:eastAsia="it-IT"/>
        </w:rPr>
      </w:pPr>
      <w:r w:rsidRPr="003E4FC7">
        <w:rPr>
          <w:rFonts w:asciiTheme="majorHAnsi" w:eastAsia="Times New Roman" w:hAnsiTheme="majorHAnsi"/>
          <w:sz w:val="18"/>
          <w:szCs w:val="18"/>
          <w:lang w:eastAsia="it-IT"/>
        </w:rPr>
        <w:t xml:space="preserve">Fonte: elaborazione Confindustria e SRM su dati </w:t>
      </w:r>
      <w:proofErr w:type="spellStart"/>
      <w:r w:rsidRPr="003E4FC7">
        <w:rPr>
          <w:rFonts w:asciiTheme="majorHAnsi" w:eastAsia="Times New Roman" w:hAnsiTheme="majorHAnsi"/>
          <w:sz w:val="18"/>
          <w:szCs w:val="18"/>
          <w:lang w:eastAsia="it-IT"/>
        </w:rPr>
        <w:t>Retimpresa</w:t>
      </w:r>
      <w:proofErr w:type="spellEnd"/>
      <w:r w:rsidRPr="003E4FC7">
        <w:rPr>
          <w:rFonts w:asciiTheme="majorHAnsi" w:eastAsia="Times New Roman" w:hAnsiTheme="majorHAnsi"/>
          <w:sz w:val="18"/>
          <w:szCs w:val="18"/>
          <w:lang w:eastAsia="it-IT"/>
        </w:rPr>
        <w:t xml:space="preserve"> e </w:t>
      </w:r>
      <w:proofErr w:type="spellStart"/>
      <w:r w:rsidRPr="003E4FC7">
        <w:rPr>
          <w:rFonts w:asciiTheme="majorHAnsi" w:eastAsia="Times New Roman" w:hAnsiTheme="majorHAnsi"/>
          <w:sz w:val="18"/>
          <w:szCs w:val="18"/>
          <w:lang w:eastAsia="it-IT"/>
        </w:rPr>
        <w:t>Infocamere</w:t>
      </w:r>
      <w:proofErr w:type="spellEnd"/>
    </w:p>
    <w:p w:rsidR="0070300A" w:rsidRDefault="0070300A" w:rsidP="009950C9">
      <w:pPr>
        <w:shd w:val="clear" w:color="auto" w:fill="FFFFFF"/>
        <w:spacing w:after="120"/>
        <w:rPr>
          <w:rFonts w:asciiTheme="majorHAnsi" w:hAnsiTheme="majorHAnsi"/>
          <w:b/>
        </w:rPr>
      </w:pPr>
    </w:p>
    <w:p w:rsidR="009914C2" w:rsidRDefault="009914C2" w:rsidP="009950C9">
      <w:pPr>
        <w:shd w:val="clear" w:color="auto" w:fill="FFFFFF"/>
        <w:spacing w:after="120"/>
        <w:rPr>
          <w:rFonts w:asciiTheme="majorHAnsi" w:hAnsiTheme="majorHAnsi"/>
          <w:b/>
        </w:rPr>
      </w:pPr>
    </w:p>
    <w:p w:rsidR="009914C2" w:rsidRDefault="009914C2" w:rsidP="009950C9">
      <w:pPr>
        <w:shd w:val="clear" w:color="auto" w:fill="FFFFFF"/>
        <w:spacing w:after="120"/>
        <w:rPr>
          <w:rFonts w:asciiTheme="majorHAnsi" w:hAnsiTheme="majorHAnsi"/>
          <w:b/>
        </w:rPr>
      </w:pPr>
    </w:p>
    <w:p w:rsidR="009914C2" w:rsidRDefault="009914C2" w:rsidP="009950C9">
      <w:pPr>
        <w:shd w:val="clear" w:color="auto" w:fill="FFFFFF"/>
        <w:spacing w:after="120"/>
        <w:rPr>
          <w:rFonts w:asciiTheme="majorHAnsi" w:hAnsiTheme="majorHAnsi"/>
          <w:b/>
        </w:rPr>
      </w:pPr>
    </w:p>
    <w:p w:rsidR="009914C2" w:rsidRDefault="009914C2" w:rsidP="009950C9">
      <w:pPr>
        <w:shd w:val="clear" w:color="auto" w:fill="FFFFFF"/>
        <w:spacing w:after="120"/>
        <w:rPr>
          <w:rFonts w:asciiTheme="majorHAnsi" w:hAnsiTheme="majorHAnsi"/>
          <w:b/>
        </w:rPr>
      </w:pPr>
    </w:p>
    <w:p w:rsidR="009914C2" w:rsidRDefault="009914C2" w:rsidP="009950C9">
      <w:pPr>
        <w:shd w:val="clear" w:color="auto" w:fill="FFFFFF"/>
        <w:spacing w:after="120"/>
        <w:rPr>
          <w:rFonts w:asciiTheme="majorHAnsi" w:hAnsiTheme="majorHAnsi"/>
          <w:b/>
        </w:rPr>
      </w:pPr>
    </w:p>
    <w:p w:rsidR="009914C2" w:rsidRDefault="009914C2" w:rsidP="009950C9">
      <w:pPr>
        <w:shd w:val="clear" w:color="auto" w:fill="FFFFFF"/>
        <w:spacing w:after="120"/>
        <w:rPr>
          <w:rFonts w:asciiTheme="majorHAnsi" w:hAnsiTheme="majorHAnsi"/>
          <w:b/>
        </w:rPr>
      </w:pPr>
    </w:p>
    <w:p w:rsidR="009914C2" w:rsidRDefault="009914C2" w:rsidP="009950C9">
      <w:pPr>
        <w:shd w:val="clear" w:color="auto" w:fill="FFFFFF"/>
        <w:spacing w:after="120"/>
        <w:rPr>
          <w:rFonts w:asciiTheme="majorHAnsi" w:hAnsiTheme="majorHAnsi"/>
          <w:b/>
        </w:rPr>
      </w:pPr>
    </w:p>
    <w:p w:rsidR="009950C9" w:rsidRPr="009950C9" w:rsidRDefault="009950C9" w:rsidP="009950C9">
      <w:pPr>
        <w:shd w:val="clear" w:color="auto" w:fill="FFFFFF"/>
        <w:spacing w:after="120"/>
        <w:rPr>
          <w:rFonts w:asciiTheme="majorHAnsi" w:hAnsiTheme="majorHAnsi"/>
          <w:b/>
        </w:rPr>
      </w:pPr>
      <w:r w:rsidRPr="009950C9">
        <w:rPr>
          <w:rFonts w:asciiTheme="majorHAnsi" w:hAnsiTheme="majorHAnsi"/>
          <w:b/>
        </w:rPr>
        <w:t>Start-up innovative* nelle regioni meridionali, valori assoluti e composizione % (II trimestre</w:t>
      </w:r>
    </w:p>
    <w:p w:rsidR="009950C9" w:rsidRPr="009950C9" w:rsidRDefault="009950C9" w:rsidP="009950C9">
      <w:pPr>
        <w:shd w:val="clear" w:color="auto" w:fill="FFFFFF"/>
        <w:spacing w:after="120"/>
        <w:rPr>
          <w:rFonts w:asciiTheme="majorHAnsi" w:hAnsiTheme="majorHAnsi"/>
          <w:b/>
        </w:rPr>
      </w:pPr>
      <w:r w:rsidRPr="009950C9">
        <w:rPr>
          <w:rFonts w:asciiTheme="majorHAnsi" w:hAnsiTheme="majorHAnsi"/>
          <w:b/>
        </w:rPr>
        <w:t>2017 vs II trimestre 2016)</w:t>
      </w:r>
    </w:p>
    <w:p w:rsidR="009950C9" w:rsidRDefault="009950C9" w:rsidP="00432E86">
      <w:pPr>
        <w:shd w:val="clear" w:color="auto" w:fill="FFFFFF"/>
        <w:spacing w:after="120"/>
        <w:rPr>
          <w:rFonts w:asciiTheme="majorHAnsi" w:hAnsiTheme="majorHAnsi"/>
          <w:b/>
        </w:rPr>
      </w:pPr>
      <w:r>
        <w:rPr>
          <w:rFonts w:asciiTheme="majorHAnsi" w:hAnsiTheme="majorHAnsi"/>
          <w:b/>
          <w:noProof/>
          <w:lang w:eastAsia="it-IT"/>
        </w:rPr>
        <w:drawing>
          <wp:inline distT="0" distB="0" distL="0" distR="0">
            <wp:extent cx="5855055" cy="2028805"/>
            <wp:effectExtent l="19050" t="0" r="0" b="0"/>
            <wp:docPr id="4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5855406" cy="2028926"/>
                    </a:xfrm>
                    <a:prstGeom prst="rect">
                      <a:avLst/>
                    </a:prstGeom>
                    <a:noFill/>
                    <a:ln w="9525">
                      <a:noFill/>
                      <a:miter lim="800000"/>
                      <a:headEnd/>
                      <a:tailEnd/>
                    </a:ln>
                  </pic:spPr>
                </pic:pic>
              </a:graphicData>
            </a:graphic>
          </wp:inline>
        </w:drawing>
      </w:r>
    </w:p>
    <w:p w:rsidR="009950C9" w:rsidRDefault="009950C9" w:rsidP="009950C9">
      <w:pPr>
        <w:autoSpaceDE w:val="0"/>
        <w:autoSpaceDN w:val="0"/>
        <w:adjustRightInd w:val="0"/>
        <w:jc w:val="left"/>
        <w:rPr>
          <w:rFonts w:ascii="HelveticaLTStd-Cond" w:hAnsi="HelveticaLTStd-Cond" w:cs="HelveticaLTStd-Cond"/>
          <w:sz w:val="18"/>
          <w:szCs w:val="18"/>
          <w:lang w:eastAsia="it-IT"/>
        </w:rPr>
      </w:pPr>
      <w:r>
        <w:rPr>
          <w:rFonts w:ascii="HelveticaLTStd-Cond" w:hAnsi="HelveticaLTStd-Cond" w:cs="HelveticaLTStd-Cond"/>
          <w:sz w:val="18"/>
          <w:szCs w:val="18"/>
          <w:lang w:eastAsia="it-IT"/>
        </w:rPr>
        <w:t>*Le start-up innovative sono società di capitali di diritto italiano, costituite anche in forma di cooperative, o società europee, che hanno</w:t>
      </w:r>
      <w:r w:rsidR="00C514F6">
        <w:rPr>
          <w:rFonts w:ascii="HelveticaLTStd-Cond" w:hAnsi="HelveticaLTStd-Cond" w:cs="HelveticaLTStd-Cond"/>
          <w:sz w:val="18"/>
          <w:szCs w:val="18"/>
          <w:lang w:eastAsia="it-IT"/>
        </w:rPr>
        <w:t xml:space="preserve"> </w:t>
      </w:r>
      <w:r>
        <w:rPr>
          <w:rFonts w:ascii="HelveticaLTStd-Cond" w:hAnsi="HelveticaLTStd-Cond" w:cs="HelveticaLTStd-Cond"/>
          <w:sz w:val="18"/>
          <w:szCs w:val="18"/>
          <w:lang w:eastAsia="it-IT"/>
        </w:rPr>
        <w:t>sede in Italia e rispondono a determinati requisiti e hanno come oggetto sociale esclusivo o prevalente lo sviluppo, la produzione e la commercializzazione di prodotti o servizi innovativi ad alto valore tecnologico. Le start-up innovative sono disciplinate dalla legge n. 221/2012</w:t>
      </w:r>
    </w:p>
    <w:p w:rsidR="009950C9" w:rsidRDefault="009950C9" w:rsidP="009950C9">
      <w:pPr>
        <w:shd w:val="clear" w:color="auto" w:fill="FFFFFF"/>
        <w:spacing w:after="120"/>
        <w:rPr>
          <w:rFonts w:ascii="HelveticaLTStd-Cond" w:hAnsi="HelveticaLTStd-Cond" w:cs="HelveticaLTStd-Cond"/>
          <w:sz w:val="18"/>
          <w:szCs w:val="18"/>
          <w:lang w:eastAsia="it-IT"/>
        </w:rPr>
      </w:pPr>
      <w:r>
        <w:rPr>
          <w:rFonts w:ascii="HelveticaLTStd-Cond" w:hAnsi="HelveticaLTStd-Cond" w:cs="HelveticaLTStd-Cond"/>
          <w:sz w:val="18"/>
          <w:szCs w:val="18"/>
          <w:lang w:eastAsia="it-IT"/>
        </w:rPr>
        <w:t>Fonte: elaborazione Confindustria e SRM su dati Registroimprese.it</w:t>
      </w:r>
    </w:p>
    <w:p w:rsidR="009950C9" w:rsidRDefault="009950C9" w:rsidP="009950C9">
      <w:pPr>
        <w:shd w:val="clear" w:color="auto" w:fill="FFFFFF"/>
        <w:spacing w:after="120"/>
        <w:rPr>
          <w:rFonts w:asciiTheme="majorHAnsi" w:hAnsiTheme="majorHAnsi"/>
          <w:b/>
        </w:rPr>
      </w:pPr>
      <w:r w:rsidRPr="00432E86">
        <w:rPr>
          <w:rFonts w:asciiTheme="majorHAnsi" w:hAnsiTheme="majorHAnsi"/>
          <w:b/>
        </w:rPr>
        <w:t>Arrivi e presenze turistiche nelle regioni meridionali (anni 2014-2016; valori assoluti e var. %)</w:t>
      </w:r>
    </w:p>
    <w:p w:rsidR="009950C9" w:rsidRDefault="009950C9" w:rsidP="009950C9">
      <w:pPr>
        <w:shd w:val="clear" w:color="auto" w:fill="FFFFFF"/>
        <w:spacing w:after="120"/>
        <w:jc w:val="center"/>
        <w:rPr>
          <w:rFonts w:asciiTheme="majorHAnsi" w:hAnsiTheme="majorHAnsi"/>
          <w:b/>
        </w:rPr>
      </w:pPr>
      <w:r>
        <w:rPr>
          <w:rFonts w:asciiTheme="majorHAnsi" w:hAnsiTheme="majorHAnsi"/>
          <w:b/>
          <w:noProof/>
          <w:lang w:eastAsia="it-IT"/>
        </w:rPr>
        <w:drawing>
          <wp:inline distT="0" distB="0" distL="0" distR="0">
            <wp:extent cx="5079644" cy="2545887"/>
            <wp:effectExtent l="19050" t="0" r="6706" b="0"/>
            <wp:docPr id="43"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082013" cy="2547074"/>
                    </a:xfrm>
                    <a:prstGeom prst="rect">
                      <a:avLst/>
                    </a:prstGeom>
                    <a:noFill/>
                    <a:ln w="9525">
                      <a:noFill/>
                      <a:miter lim="800000"/>
                      <a:headEnd/>
                      <a:tailEnd/>
                    </a:ln>
                  </pic:spPr>
                </pic:pic>
              </a:graphicData>
            </a:graphic>
          </wp:inline>
        </w:drawing>
      </w:r>
    </w:p>
    <w:p w:rsidR="009950C9" w:rsidRDefault="009950C9" w:rsidP="009950C9">
      <w:pPr>
        <w:autoSpaceDE w:val="0"/>
        <w:autoSpaceDN w:val="0"/>
        <w:adjustRightInd w:val="0"/>
        <w:jc w:val="left"/>
        <w:rPr>
          <w:rFonts w:ascii="HelveticaLTStd-Cond" w:hAnsi="HelveticaLTStd-Cond" w:cs="HelveticaLTStd-Cond"/>
          <w:sz w:val="18"/>
          <w:szCs w:val="18"/>
          <w:lang w:eastAsia="it-IT"/>
        </w:rPr>
      </w:pPr>
      <w:r>
        <w:rPr>
          <w:rFonts w:ascii="HelveticaLTStd-Cond" w:hAnsi="HelveticaLTStd-Cond" w:cs="HelveticaLTStd-Cond"/>
          <w:sz w:val="18"/>
          <w:szCs w:val="18"/>
          <w:lang w:eastAsia="it-IT"/>
        </w:rPr>
        <w:t>*Numero di clienti, italiani e stranieri, ospitati negli esercizi ricettivi (inclusi esercizi alberghieri ed esercizi complementari)</w:t>
      </w:r>
    </w:p>
    <w:p w:rsidR="009950C9" w:rsidRDefault="009950C9" w:rsidP="009950C9">
      <w:pPr>
        <w:autoSpaceDE w:val="0"/>
        <w:autoSpaceDN w:val="0"/>
        <w:adjustRightInd w:val="0"/>
        <w:jc w:val="left"/>
        <w:rPr>
          <w:rFonts w:ascii="HelveticaLTStd-Cond" w:hAnsi="HelveticaLTStd-Cond" w:cs="HelveticaLTStd-Cond"/>
          <w:sz w:val="18"/>
          <w:szCs w:val="18"/>
          <w:lang w:eastAsia="it-IT"/>
        </w:rPr>
      </w:pPr>
      <w:r>
        <w:rPr>
          <w:rFonts w:ascii="HelveticaLTStd-Cond" w:hAnsi="HelveticaLTStd-Cond" w:cs="HelveticaLTStd-Cond"/>
          <w:sz w:val="18"/>
          <w:szCs w:val="18"/>
          <w:lang w:eastAsia="it-IT"/>
        </w:rPr>
        <w:t>**Numero delle notti trascorse</w:t>
      </w:r>
    </w:p>
    <w:p w:rsidR="009950C9" w:rsidRDefault="009950C9" w:rsidP="009950C9">
      <w:pPr>
        <w:shd w:val="clear" w:color="auto" w:fill="FFFFFF"/>
        <w:spacing w:after="120"/>
        <w:rPr>
          <w:rFonts w:ascii="HelveticaLTStd-Cond" w:hAnsi="HelveticaLTStd-Cond" w:cs="HelveticaLTStd-Cond"/>
          <w:sz w:val="18"/>
          <w:szCs w:val="18"/>
          <w:lang w:eastAsia="it-IT"/>
        </w:rPr>
      </w:pPr>
      <w:r>
        <w:rPr>
          <w:rFonts w:ascii="HelveticaLTStd-Cond" w:hAnsi="HelveticaLTStd-Cond" w:cs="HelveticaLTStd-Cond"/>
          <w:sz w:val="18"/>
          <w:szCs w:val="18"/>
          <w:lang w:eastAsia="it-IT"/>
        </w:rPr>
        <w:t>Fonte: elaborazione Confindustria e SRM su dati Istat</w:t>
      </w: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432E86" w:rsidRPr="00432E86" w:rsidRDefault="00432E86" w:rsidP="00432E86">
      <w:pPr>
        <w:shd w:val="clear" w:color="auto" w:fill="FFFFFF"/>
        <w:spacing w:after="120"/>
        <w:rPr>
          <w:rFonts w:asciiTheme="majorHAnsi" w:hAnsiTheme="majorHAnsi"/>
          <w:b/>
        </w:rPr>
      </w:pPr>
      <w:r w:rsidRPr="00432E86">
        <w:rPr>
          <w:rFonts w:asciiTheme="majorHAnsi" w:hAnsiTheme="majorHAnsi"/>
          <w:b/>
        </w:rPr>
        <w:t>Spesa dei viaggiatori stranieri nelle regioni del Mezzogiorno (anni 2016-2017, valori in mln. di</w:t>
      </w:r>
    </w:p>
    <w:p w:rsidR="00432E86" w:rsidRDefault="00432E86" w:rsidP="00432E86">
      <w:pPr>
        <w:shd w:val="clear" w:color="auto" w:fill="FFFFFF"/>
        <w:spacing w:after="120"/>
        <w:rPr>
          <w:rFonts w:asciiTheme="majorHAnsi" w:hAnsiTheme="majorHAnsi"/>
          <w:b/>
        </w:rPr>
      </w:pPr>
      <w:r w:rsidRPr="00432E86">
        <w:rPr>
          <w:rFonts w:asciiTheme="majorHAnsi" w:hAnsiTheme="majorHAnsi"/>
          <w:b/>
        </w:rPr>
        <w:t>euro e var. %)</w:t>
      </w:r>
    </w:p>
    <w:p w:rsidR="004E0AAE" w:rsidRDefault="00432E86" w:rsidP="00432E86">
      <w:pPr>
        <w:shd w:val="clear" w:color="auto" w:fill="FFFFFF"/>
        <w:spacing w:after="120"/>
        <w:jc w:val="center"/>
        <w:rPr>
          <w:rFonts w:asciiTheme="majorHAnsi" w:hAnsiTheme="majorHAnsi"/>
          <w:b/>
        </w:rPr>
      </w:pPr>
      <w:r>
        <w:rPr>
          <w:rFonts w:asciiTheme="majorHAnsi" w:hAnsiTheme="majorHAnsi"/>
          <w:b/>
          <w:noProof/>
          <w:lang w:eastAsia="it-IT"/>
        </w:rPr>
        <w:drawing>
          <wp:inline distT="0" distB="0" distL="0" distR="0">
            <wp:extent cx="5350306" cy="2291004"/>
            <wp:effectExtent l="19050" t="0" r="2744" b="0"/>
            <wp:docPr id="3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350098" cy="2290915"/>
                    </a:xfrm>
                    <a:prstGeom prst="rect">
                      <a:avLst/>
                    </a:prstGeom>
                    <a:noFill/>
                    <a:ln w="9525">
                      <a:noFill/>
                      <a:miter lim="800000"/>
                      <a:headEnd/>
                      <a:tailEnd/>
                    </a:ln>
                  </pic:spPr>
                </pic:pic>
              </a:graphicData>
            </a:graphic>
          </wp:inline>
        </w:drawing>
      </w:r>
    </w:p>
    <w:p w:rsidR="004E0AAE" w:rsidRDefault="00432E86" w:rsidP="007F4FFE">
      <w:pPr>
        <w:shd w:val="clear" w:color="auto" w:fill="FFFFFF"/>
        <w:spacing w:after="120"/>
        <w:rPr>
          <w:rFonts w:ascii="HelveticaLTStd-Cond" w:hAnsi="HelveticaLTStd-Cond" w:cs="HelveticaLTStd-Cond"/>
          <w:sz w:val="18"/>
          <w:szCs w:val="18"/>
          <w:lang w:eastAsia="it-IT"/>
        </w:rPr>
      </w:pPr>
      <w:r>
        <w:rPr>
          <w:rFonts w:ascii="HelveticaLTStd-Cond" w:hAnsi="HelveticaLTStd-Cond" w:cs="HelveticaLTStd-Cond"/>
          <w:sz w:val="18"/>
          <w:szCs w:val="18"/>
          <w:lang w:eastAsia="it-IT"/>
        </w:rPr>
        <w:t>Fonte: elaborazione Confindustria e SRM su dati Banca d’Italia</w:t>
      </w:r>
    </w:p>
    <w:p w:rsidR="009914C2" w:rsidRDefault="009914C2" w:rsidP="007F4FFE">
      <w:pPr>
        <w:shd w:val="clear" w:color="auto" w:fill="FFFFFF"/>
        <w:spacing w:after="120"/>
        <w:rPr>
          <w:rFonts w:asciiTheme="majorHAnsi" w:hAnsiTheme="majorHAnsi"/>
          <w:b/>
        </w:rPr>
      </w:pPr>
    </w:p>
    <w:p w:rsidR="00432E86" w:rsidRPr="00432E86" w:rsidRDefault="00432E86" w:rsidP="007F4FFE">
      <w:pPr>
        <w:shd w:val="clear" w:color="auto" w:fill="FFFFFF"/>
        <w:spacing w:after="120"/>
        <w:rPr>
          <w:rFonts w:asciiTheme="majorHAnsi" w:hAnsiTheme="majorHAnsi"/>
          <w:b/>
        </w:rPr>
      </w:pPr>
      <w:r w:rsidRPr="00432E86">
        <w:rPr>
          <w:rFonts w:asciiTheme="majorHAnsi" w:hAnsiTheme="majorHAnsi"/>
          <w:b/>
        </w:rPr>
        <w:t>Variazione % 2014-2015 dei principali indicatori strutturali delle imprese turistiche</w:t>
      </w:r>
    </w:p>
    <w:p w:rsidR="00432E86" w:rsidRDefault="00432E86" w:rsidP="00432E86">
      <w:pPr>
        <w:shd w:val="clear" w:color="auto" w:fill="FFFFFF"/>
        <w:spacing w:after="120"/>
        <w:jc w:val="center"/>
        <w:rPr>
          <w:rFonts w:asciiTheme="majorHAnsi" w:hAnsiTheme="majorHAnsi"/>
          <w:b/>
        </w:rPr>
      </w:pPr>
      <w:r>
        <w:rPr>
          <w:rFonts w:asciiTheme="majorHAnsi" w:hAnsiTheme="majorHAnsi"/>
          <w:b/>
          <w:noProof/>
          <w:lang w:eastAsia="it-IT"/>
        </w:rPr>
        <w:drawing>
          <wp:inline distT="0" distB="0" distL="0" distR="0">
            <wp:extent cx="4243726" cy="2179929"/>
            <wp:effectExtent l="19050" t="0" r="4424" b="0"/>
            <wp:docPr id="3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4247239" cy="2181734"/>
                    </a:xfrm>
                    <a:prstGeom prst="rect">
                      <a:avLst/>
                    </a:prstGeom>
                    <a:noFill/>
                    <a:ln w="9525">
                      <a:noFill/>
                      <a:miter lim="800000"/>
                      <a:headEnd/>
                      <a:tailEnd/>
                    </a:ln>
                  </pic:spPr>
                </pic:pic>
              </a:graphicData>
            </a:graphic>
          </wp:inline>
        </w:drawing>
      </w:r>
    </w:p>
    <w:p w:rsidR="00432E86" w:rsidRDefault="00432E86" w:rsidP="00432E86">
      <w:pPr>
        <w:shd w:val="clear" w:color="auto" w:fill="FFFFFF"/>
        <w:spacing w:after="120"/>
        <w:rPr>
          <w:rFonts w:ascii="HelveticaLTStd-Cond" w:hAnsi="HelveticaLTStd-Cond" w:cs="HelveticaLTStd-Cond"/>
          <w:sz w:val="18"/>
          <w:szCs w:val="18"/>
          <w:lang w:eastAsia="it-IT"/>
        </w:rPr>
      </w:pPr>
      <w:r>
        <w:rPr>
          <w:rFonts w:ascii="HelveticaLTStd-Cond" w:hAnsi="HelveticaLTStd-Cond" w:cs="HelveticaLTStd-Cond"/>
          <w:sz w:val="18"/>
          <w:szCs w:val="18"/>
          <w:lang w:eastAsia="it-IT"/>
        </w:rPr>
        <w:t>Fonte: elaborazione Confindustria e SRM su dati Istat</w:t>
      </w:r>
    </w:p>
    <w:p w:rsidR="00432E86" w:rsidRDefault="009950C9" w:rsidP="000872D2">
      <w:pPr>
        <w:shd w:val="clear" w:color="auto" w:fill="FFFFFF"/>
        <w:spacing w:after="120"/>
        <w:jc w:val="center"/>
        <w:rPr>
          <w:rFonts w:asciiTheme="majorHAnsi" w:hAnsiTheme="majorHAnsi"/>
          <w:b/>
        </w:rPr>
      </w:pPr>
      <w:r w:rsidRPr="009950C9">
        <w:rPr>
          <w:rFonts w:asciiTheme="majorHAnsi" w:hAnsiTheme="majorHAnsi"/>
          <w:b/>
        </w:rPr>
        <w:t>Indici</w:t>
      </w:r>
      <w:r>
        <w:rPr>
          <w:rFonts w:ascii="HelveticaLTStd-Cond" w:hAnsi="HelveticaLTStd-Cond" w:cs="HelveticaLTStd-Cond"/>
          <w:color w:val="1F497D"/>
          <w:lang w:eastAsia="it-IT"/>
        </w:rPr>
        <w:t xml:space="preserve"> </w:t>
      </w:r>
      <w:r w:rsidRPr="009950C9">
        <w:rPr>
          <w:rFonts w:asciiTheme="majorHAnsi" w:hAnsiTheme="majorHAnsi"/>
          <w:b/>
        </w:rPr>
        <w:t>di redditività delle imprese alberghiere del Mezzogiorno (anni 2008-2016)</w:t>
      </w:r>
      <w:r>
        <w:rPr>
          <w:rFonts w:asciiTheme="majorHAnsi" w:hAnsiTheme="majorHAnsi"/>
          <w:b/>
          <w:noProof/>
          <w:lang w:eastAsia="it-IT"/>
        </w:rPr>
        <w:drawing>
          <wp:inline distT="0" distB="0" distL="0" distR="0">
            <wp:extent cx="4799513" cy="2348179"/>
            <wp:effectExtent l="19050" t="0" r="1087" b="0"/>
            <wp:docPr id="3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4801482" cy="2349142"/>
                    </a:xfrm>
                    <a:prstGeom prst="rect">
                      <a:avLst/>
                    </a:prstGeom>
                    <a:noFill/>
                    <a:ln w="9525">
                      <a:noFill/>
                      <a:miter lim="800000"/>
                      <a:headEnd/>
                      <a:tailEnd/>
                    </a:ln>
                  </pic:spPr>
                </pic:pic>
              </a:graphicData>
            </a:graphic>
          </wp:inline>
        </w:drawing>
      </w:r>
    </w:p>
    <w:p w:rsidR="009950C9" w:rsidRDefault="009950C9" w:rsidP="00432E86">
      <w:pPr>
        <w:shd w:val="clear" w:color="auto" w:fill="FFFFFF"/>
        <w:spacing w:after="120"/>
        <w:rPr>
          <w:rFonts w:ascii="HelveticaLTStd-Cond" w:hAnsi="HelveticaLTStd-Cond" w:cs="HelveticaLTStd-Cond"/>
          <w:sz w:val="18"/>
          <w:szCs w:val="18"/>
          <w:lang w:eastAsia="it-IT"/>
        </w:rPr>
      </w:pPr>
      <w:r>
        <w:rPr>
          <w:rFonts w:ascii="HelveticaLTStd-Cond" w:hAnsi="HelveticaLTStd-Cond" w:cs="HelveticaLTStd-Cond"/>
          <w:sz w:val="18"/>
          <w:szCs w:val="18"/>
          <w:lang w:eastAsia="it-IT"/>
        </w:rPr>
        <w:t>Fonte: elaborazione Confindustria Alberghi su dati AIDA</w:t>
      </w: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50C9" w:rsidRPr="009950C9" w:rsidRDefault="009950C9" w:rsidP="00432E86">
      <w:pPr>
        <w:shd w:val="clear" w:color="auto" w:fill="FFFFFF"/>
        <w:spacing w:after="120"/>
        <w:rPr>
          <w:rFonts w:asciiTheme="majorHAnsi" w:hAnsiTheme="majorHAnsi"/>
          <w:b/>
        </w:rPr>
      </w:pPr>
      <w:r w:rsidRPr="009950C9">
        <w:rPr>
          <w:rFonts w:asciiTheme="majorHAnsi" w:hAnsiTheme="majorHAnsi"/>
          <w:b/>
        </w:rPr>
        <w:t>Ricavi totali e valore aggiunto degli stabilimenti termali per regione (valori %, anno 2016)</w:t>
      </w:r>
    </w:p>
    <w:p w:rsidR="009950C9" w:rsidRDefault="009950C9" w:rsidP="00432E86">
      <w:pPr>
        <w:shd w:val="clear" w:color="auto" w:fill="FFFFFF"/>
        <w:spacing w:after="120"/>
        <w:rPr>
          <w:rFonts w:asciiTheme="majorHAnsi" w:hAnsiTheme="majorHAnsi"/>
          <w:b/>
        </w:rPr>
      </w:pPr>
      <w:r>
        <w:rPr>
          <w:rFonts w:asciiTheme="majorHAnsi" w:hAnsiTheme="majorHAnsi"/>
          <w:b/>
          <w:noProof/>
          <w:lang w:eastAsia="it-IT"/>
        </w:rPr>
        <w:drawing>
          <wp:inline distT="0" distB="0" distL="0" distR="0">
            <wp:extent cx="6115685" cy="4243070"/>
            <wp:effectExtent l="19050" t="0" r="0" b="0"/>
            <wp:docPr id="4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6115685" cy="4243070"/>
                    </a:xfrm>
                    <a:prstGeom prst="rect">
                      <a:avLst/>
                    </a:prstGeom>
                    <a:noFill/>
                    <a:ln w="9525">
                      <a:noFill/>
                      <a:miter lim="800000"/>
                      <a:headEnd/>
                      <a:tailEnd/>
                    </a:ln>
                  </pic:spPr>
                </pic:pic>
              </a:graphicData>
            </a:graphic>
          </wp:inline>
        </w:drawing>
      </w:r>
    </w:p>
    <w:p w:rsidR="009950C9" w:rsidRDefault="009950C9" w:rsidP="00432E86">
      <w:pPr>
        <w:shd w:val="clear" w:color="auto" w:fill="FFFFFF"/>
        <w:spacing w:after="120"/>
        <w:rPr>
          <w:rFonts w:ascii="HelveticaLTStd-Cond" w:hAnsi="HelveticaLTStd-Cond" w:cs="HelveticaLTStd-Cond"/>
          <w:sz w:val="18"/>
          <w:szCs w:val="18"/>
          <w:lang w:eastAsia="it-IT"/>
        </w:rPr>
      </w:pPr>
      <w:r>
        <w:rPr>
          <w:rFonts w:ascii="HelveticaLTStd-Cond" w:hAnsi="HelveticaLTStd-Cond" w:cs="HelveticaLTStd-Cond"/>
          <w:sz w:val="18"/>
          <w:szCs w:val="18"/>
          <w:lang w:eastAsia="it-IT"/>
        </w:rPr>
        <w:t xml:space="preserve">Fonte: elaborazione </w:t>
      </w:r>
      <w:proofErr w:type="spellStart"/>
      <w:r>
        <w:rPr>
          <w:rFonts w:ascii="HelveticaLTStd-Cond" w:hAnsi="HelveticaLTStd-Cond" w:cs="HelveticaLTStd-Cond"/>
          <w:sz w:val="18"/>
          <w:szCs w:val="18"/>
          <w:lang w:eastAsia="it-IT"/>
        </w:rPr>
        <w:t>Federterme</w:t>
      </w:r>
      <w:proofErr w:type="spellEnd"/>
      <w:r>
        <w:rPr>
          <w:rFonts w:ascii="HelveticaLTStd-Cond" w:hAnsi="HelveticaLTStd-Cond" w:cs="HelveticaLTStd-Cond"/>
          <w:sz w:val="18"/>
          <w:szCs w:val="18"/>
          <w:lang w:eastAsia="it-IT"/>
        </w:rPr>
        <w:t xml:space="preserve"> su dati bilanci aziendali</w:t>
      </w:r>
    </w:p>
    <w:p w:rsidR="009950C9" w:rsidRDefault="009950C9" w:rsidP="00432E86">
      <w:pPr>
        <w:shd w:val="clear" w:color="auto" w:fill="FFFFFF"/>
        <w:spacing w:after="120"/>
        <w:rPr>
          <w:rFonts w:ascii="HelveticaLTStd-Cond" w:hAnsi="HelveticaLTStd-Cond" w:cs="HelveticaLTStd-Cond"/>
          <w:sz w:val="18"/>
          <w:szCs w:val="18"/>
          <w:lang w:eastAsia="it-IT"/>
        </w:rPr>
      </w:pPr>
    </w:p>
    <w:p w:rsidR="009950C9" w:rsidRDefault="009950C9" w:rsidP="00432E86">
      <w:pPr>
        <w:shd w:val="clear" w:color="auto" w:fill="FFFFFF"/>
        <w:spacing w:after="120"/>
        <w:rPr>
          <w:rFonts w:ascii="HelveticaLTStd-Cond" w:hAnsi="HelveticaLTStd-Cond" w:cs="HelveticaLTStd-Cond"/>
          <w:sz w:val="18"/>
          <w:szCs w:val="18"/>
          <w:lang w:eastAsia="it-IT"/>
        </w:rPr>
      </w:pPr>
    </w:p>
    <w:p w:rsidR="009950C9" w:rsidRDefault="009950C9" w:rsidP="00432E86">
      <w:pPr>
        <w:shd w:val="clear" w:color="auto" w:fill="FFFFFF"/>
        <w:spacing w:after="120"/>
        <w:rPr>
          <w:rFonts w:ascii="HelveticaLTStd-Cond" w:hAnsi="HelveticaLTStd-Cond" w:cs="HelveticaLTStd-Cond"/>
          <w:sz w:val="18"/>
          <w:szCs w:val="18"/>
          <w:lang w:eastAsia="it-IT"/>
        </w:rPr>
      </w:pPr>
    </w:p>
    <w:p w:rsidR="009950C9" w:rsidRDefault="009950C9" w:rsidP="00432E86">
      <w:pPr>
        <w:shd w:val="clear" w:color="auto" w:fill="FFFFFF"/>
        <w:spacing w:after="120"/>
        <w:rPr>
          <w:rFonts w:ascii="HelveticaLTStd-Cond" w:hAnsi="HelveticaLTStd-Cond" w:cs="HelveticaLTStd-Cond"/>
          <w:sz w:val="18"/>
          <w:szCs w:val="18"/>
          <w:lang w:eastAsia="it-IT"/>
        </w:rPr>
      </w:pPr>
    </w:p>
    <w:p w:rsidR="009950C9" w:rsidRDefault="009950C9" w:rsidP="00432E86">
      <w:pPr>
        <w:shd w:val="clear" w:color="auto" w:fill="FFFFFF"/>
        <w:spacing w:after="120"/>
        <w:rPr>
          <w:rFonts w:ascii="HelveticaLTStd-Cond" w:hAnsi="HelveticaLTStd-Cond" w:cs="HelveticaLTStd-Cond"/>
          <w:sz w:val="18"/>
          <w:szCs w:val="18"/>
          <w:lang w:eastAsia="it-IT"/>
        </w:rPr>
      </w:pPr>
    </w:p>
    <w:p w:rsidR="009950C9" w:rsidRDefault="009950C9" w:rsidP="00432E86">
      <w:pPr>
        <w:shd w:val="clear" w:color="auto" w:fill="FFFFFF"/>
        <w:spacing w:after="120"/>
        <w:rPr>
          <w:rFonts w:ascii="HelveticaLTStd-Cond" w:hAnsi="HelveticaLTStd-Cond" w:cs="HelveticaLTStd-Cond"/>
          <w:sz w:val="18"/>
          <w:szCs w:val="18"/>
          <w:lang w:eastAsia="it-IT"/>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14C2" w:rsidRDefault="009914C2" w:rsidP="00432E86">
      <w:pPr>
        <w:shd w:val="clear" w:color="auto" w:fill="FFFFFF"/>
        <w:spacing w:after="120"/>
        <w:rPr>
          <w:rFonts w:asciiTheme="majorHAnsi" w:hAnsiTheme="majorHAnsi"/>
          <w:b/>
        </w:rPr>
      </w:pPr>
    </w:p>
    <w:p w:rsidR="009950C9" w:rsidRPr="009950C9" w:rsidRDefault="009950C9" w:rsidP="00432E86">
      <w:pPr>
        <w:shd w:val="clear" w:color="auto" w:fill="FFFFFF"/>
        <w:spacing w:after="120"/>
        <w:rPr>
          <w:rFonts w:asciiTheme="majorHAnsi" w:hAnsiTheme="majorHAnsi"/>
          <w:b/>
        </w:rPr>
      </w:pPr>
      <w:proofErr w:type="spellStart"/>
      <w:r w:rsidRPr="009950C9">
        <w:rPr>
          <w:rFonts w:asciiTheme="majorHAnsi" w:hAnsiTheme="majorHAnsi"/>
          <w:b/>
        </w:rPr>
        <w:t>Regional</w:t>
      </w:r>
      <w:proofErr w:type="spellEnd"/>
      <w:r w:rsidRPr="009950C9">
        <w:rPr>
          <w:rFonts w:asciiTheme="majorHAnsi" w:hAnsiTheme="majorHAnsi"/>
          <w:b/>
        </w:rPr>
        <w:t xml:space="preserve"> </w:t>
      </w:r>
      <w:proofErr w:type="spellStart"/>
      <w:r w:rsidRPr="009950C9">
        <w:rPr>
          <w:rFonts w:asciiTheme="majorHAnsi" w:hAnsiTheme="majorHAnsi"/>
          <w:b/>
        </w:rPr>
        <w:t>Innovation</w:t>
      </w:r>
      <w:proofErr w:type="spellEnd"/>
      <w:r w:rsidRPr="009950C9">
        <w:rPr>
          <w:rFonts w:asciiTheme="majorHAnsi" w:hAnsiTheme="majorHAnsi"/>
          <w:b/>
        </w:rPr>
        <w:t xml:space="preserve"> </w:t>
      </w:r>
      <w:proofErr w:type="spellStart"/>
      <w:r w:rsidRPr="009950C9">
        <w:rPr>
          <w:rFonts w:asciiTheme="majorHAnsi" w:hAnsiTheme="majorHAnsi"/>
          <w:b/>
        </w:rPr>
        <w:t>Scoreboard</w:t>
      </w:r>
      <w:proofErr w:type="spellEnd"/>
      <w:r>
        <w:rPr>
          <w:rFonts w:asciiTheme="majorHAnsi" w:hAnsiTheme="majorHAnsi"/>
          <w:b/>
        </w:rPr>
        <w:t>, 2017</w:t>
      </w:r>
    </w:p>
    <w:p w:rsidR="009950C9" w:rsidRDefault="009950C9" w:rsidP="009950C9">
      <w:pPr>
        <w:shd w:val="clear" w:color="auto" w:fill="FFFFFF"/>
        <w:spacing w:after="120"/>
        <w:jc w:val="center"/>
        <w:rPr>
          <w:rFonts w:asciiTheme="majorHAnsi" w:hAnsiTheme="majorHAnsi"/>
          <w:b/>
        </w:rPr>
      </w:pPr>
      <w:r>
        <w:rPr>
          <w:rFonts w:asciiTheme="majorHAnsi" w:hAnsiTheme="majorHAnsi"/>
          <w:b/>
          <w:noProof/>
          <w:lang w:eastAsia="it-IT"/>
        </w:rPr>
        <w:drawing>
          <wp:inline distT="0" distB="0" distL="0" distR="0">
            <wp:extent cx="5235828" cy="3482035"/>
            <wp:effectExtent l="19050" t="0" r="2922" b="0"/>
            <wp:docPr id="4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235730" cy="3481970"/>
                    </a:xfrm>
                    <a:prstGeom prst="rect">
                      <a:avLst/>
                    </a:prstGeom>
                    <a:noFill/>
                    <a:ln w="9525">
                      <a:noFill/>
                      <a:miter lim="800000"/>
                      <a:headEnd/>
                      <a:tailEnd/>
                    </a:ln>
                  </pic:spPr>
                </pic:pic>
              </a:graphicData>
            </a:graphic>
          </wp:inline>
        </w:drawing>
      </w:r>
    </w:p>
    <w:p w:rsidR="009950C9" w:rsidRDefault="009950C9" w:rsidP="00432E86">
      <w:pPr>
        <w:shd w:val="clear" w:color="auto" w:fill="FFFFFF"/>
        <w:spacing w:after="120"/>
        <w:rPr>
          <w:rFonts w:ascii="HelveticaLTStd-Cond" w:hAnsi="HelveticaLTStd-Cond" w:cs="HelveticaLTStd-Cond"/>
          <w:sz w:val="18"/>
          <w:szCs w:val="18"/>
          <w:lang w:eastAsia="it-IT"/>
        </w:rPr>
      </w:pPr>
      <w:r>
        <w:rPr>
          <w:rFonts w:ascii="HelveticaLTStd-Cond" w:hAnsi="HelveticaLTStd-Cond" w:cs="HelveticaLTStd-Cond"/>
          <w:sz w:val="18"/>
          <w:szCs w:val="18"/>
          <w:lang w:eastAsia="it-IT"/>
        </w:rPr>
        <w:t>Fonte: elaborazione Confindustria e SRM su dati Commissione Europea (</w:t>
      </w:r>
      <w:proofErr w:type="spellStart"/>
      <w:r>
        <w:rPr>
          <w:rFonts w:ascii="HelveticaLTStd-Cond" w:hAnsi="HelveticaLTStd-Cond" w:cs="HelveticaLTStd-Cond"/>
          <w:sz w:val="18"/>
          <w:szCs w:val="18"/>
          <w:lang w:eastAsia="it-IT"/>
        </w:rPr>
        <w:t>Regional</w:t>
      </w:r>
      <w:proofErr w:type="spellEnd"/>
      <w:r>
        <w:rPr>
          <w:rFonts w:ascii="HelveticaLTStd-Cond" w:hAnsi="HelveticaLTStd-Cond" w:cs="HelveticaLTStd-Cond"/>
          <w:sz w:val="18"/>
          <w:szCs w:val="18"/>
          <w:lang w:eastAsia="it-IT"/>
        </w:rPr>
        <w:t xml:space="preserve"> </w:t>
      </w:r>
      <w:proofErr w:type="spellStart"/>
      <w:r>
        <w:rPr>
          <w:rFonts w:ascii="HelveticaLTStd-Cond" w:hAnsi="HelveticaLTStd-Cond" w:cs="HelveticaLTStd-Cond"/>
          <w:sz w:val="18"/>
          <w:szCs w:val="18"/>
          <w:lang w:eastAsia="it-IT"/>
        </w:rPr>
        <w:t>Innovation</w:t>
      </w:r>
      <w:proofErr w:type="spellEnd"/>
      <w:r>
        <w:rPr>
          <w:rFonts w:ascii="HelveticaLTStd-Cond" w:hAnsi="HelveticaLTStd-Cond" w:cs="HelveticaLTStd-Cond"/>
          <w:sz w:val="18"/>
          <w:szCs w:val="18"/>
          <w:lang w:eastAsia="it-IT"/>
        </w:rPr>
        <w:t xml:space="preserve"> </w:t>
      </w:r>
      <w:proofErr w:type="spellStart"/>
      <w:r>
        <w:rPr>
          <w:rFonts w:ascii="HelveticaLTStd-Cond" w:hAnsi="HelveticaLTStd-Cond" w:cs="HelveticaLTStd-Cond"/>
          <w:sz w:val="18"/>
          <w:szCs w:val="18"/>
          <w:lang w:eastAsia="it-IT"/>
        </w:rPr>
        <w:t>Scoreboard</w:t>
      </w:r>
      <w:proofErr w:type="spellEnd"/>
      <w:r>
        <w:rPr>
          <w:rFonts w:ascii="HelveticaLTStd-Cond" w:hAnsi="HelveticaLTStd-Cond" w:cs="HelveticaLTStd-Cond"/>
          <w:sz w:val="18"/>
          <w:szCs w:val="18"/>
          <w:lang w:eastAsia="it-IT"/>
        </w:rPr>
        <w:t>, 2017)</w:t>
      </w:r>
    </w:p>
    <w:p w:rsidR="0070300A" w:rsidRDefault="0070300A" w:rsidP="000872D2">
      <w:pPr>
        <w:shd w:val="clear" w:color="auto" w:fill="FFFFFF"/>
        <w:spacing w:after="120"/>
        <w:rPr>
          <w:rFonts w:asciiTheme="majorHAnsi" w:hAnsiTheme="majorHAnsi"/>
          <w:b/>
        </w:rPr>
      </w:pPr>
    </w:p>
    <w:p w:rsidR="0070300A" w:rsidRDefault="0070300A" w:rsidP="000872D2">
      <w:pPr>
        <w:shd w:val="clear" w:color="auto" w:fill="FFFFFF"/>
        <w:spacing w:after="120"/>
        <w:rPr>
          <w:rFonts w:asciiTheme="majorHAnsi" w:hAnsiTheme="majorHAnsi"/>
          <w:b/>
        </w:rPr>
      </w:pPr>
    </w:p>
    <w:p w:rsidR="000872D2" w:rsidRPr="00966FC7" w:rsidRDefault="000872D2" w:rsidP="000872D2">
      <w:pPr>
        <w:shd w:val="clear" w:color="auto" w:fill="FFFFFF"/>
        <w:spacing w:after="120"/>
        <w:rPr>
          <w:rFonts w:asciiTheme="majorHAnsi" w:hAnsiTheme="majorHAnsi"/>
          <w:b/>
        </w:rPr>
      </w:pPr>
      <w:r w:rsidRPr="00966FC7">
        <w:rPr>
          <w:rFonts w:asciiTheme="majorHAnsi" w:hAnsiTheme="majorHAnsi"/>
          <w:b/>
        </w:rPr>
        <w:t>Giovani che abbandonano prematuramente gli studi (età 18-24, valori %)</w:t>
      </w:r>
    </w:p>
    <w:p w:rsidR="000872D2" w:rsidRPr="00F464F0" w:rsidRDefault="000872D2" w:rsidP="000872D2">
      <w:pPr>
        <w:shd w:val="clear" w:color="auto" w:fill="FFFFFF"/>
        <w:spacing w:after="120"/>
        <w:rPr>
          <w:rFonts w:ascii="Helvetica" w:hAnsi="Helvetica"/>
          <w:b/>
          <w:color w:val="1F497D"/>
          <w:shd w:val="clear" w:color="auto" w:fill="FFFFFF"/>
        </w:rPr>
      </w:pPr>
      <w:r>
        <w:rPr>
          <w:rFonts w:ascii="Helvetica" w:hAnsi="Helvetica"/>
          <w:b/>
          <w:noProof/>
          <w:color w:val="1F497D"/>
          <w:shd w:val="clear" w:color="auto" w:fill="FFFFFF"/>
          <w:lang w:eastAsia="it-IT"/>
        </w:rPr>
        <w:drawing>
          <wp:inline distT="0" distB="0" distL="0" distR="0">
            <wp:extent cx="5837225" cy="3238819"/>
            <wp:effectExtent l="19050" t="0" r="0" b="0"/>
            <wp:docPr id="45"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5837481" cy="3238961"/>
                    </a:xfrm>
                    <a:prstGeom prst="rect">
                      <a:avLst/>
                    </a:prstGeom>
                    <a:noFill/>
                    <a:ln w="9525">
                      <a:noFill/>
                      <a:miter lim="800000"/>
                      <a:headEnd/>
                      <a:tailEnd/>
                    </a:ln>
                  </pic:spPr>
                </pic:pic>
              </a:graphicData>
            </a:graphic>
          </wp:inline>
        </w:drawing>
      </w:r>
    </w:p>
    <w:p w:rsidR="000872D2" w:rsidRDefault="000872D2" w:rsidP="000872D2">
      <w:pPr>
        <w:spacing w:after="120"/>
        <w:rPr>
          <w:rFonts w:asciiTheme="majorHAnsi" w:eastAsia="Times New Roman" w:hAnsiTheme="majorHAnsi"/>
          <w:sz w:val="18"/>
          <w:szCs w:val="18"/>
          <w:lang w:eastAsia="it-IT"/>
        </w:rPr>
      </w:pPr>
      <w:r w:rsidRPr="00AD4C90">
        <w:rPr>
          <w:rFonts w:asciiTheme="majorHAnsi" w:eastAsia="Times New Roman" w:hAnsiTheme="majorHAnsi"/>
          <w:sz w:val="18"/>
          <w:szCs w:val="18"/>
          <w:lang w:eastAsia="it-IT"/>
        </w:rPr>
        <w:t>Fonte: Elaborazio</w:t>
      </w:r>
      <w:r>
        <w:rPr>
          <w:rFonts w:asciiTheme="majorHAnsi" w:eastAsia="Times New Roman" w:hAnsiTheme="majorHAnsi"/>
          <w:sz w:val="18"/>
          <w:szCs w:val="18"/>
          <w:lang w:eastAsia="it-IT"/>
        </w:rPr>
        <w:t>ni Confindustria e SRM su dati Istat</w:t>
      </w:r>
    </w:p>
    <w:p w:rsidR="000872D2" w:rsidRDefault="000872D2" w:rsidP="000872D2">
      <w:pPr>
        <w:shd w:val="clear" w:color="auto" w:fill="FFFFFF"/>
        <w:spacing w:after="120"/>
        <w:rPr>
          <w:rFonts w:asciiTheme="majorHAnsi" w:hAnsiTheme="majorHAnsi"/>
          <w:b/>
        </w:rPr>
      </w:pPr>
    </w:p>
    <w:p w:rsidR="000872D2" w:rsidRDefault="000872D2" w:rsidP="000872D2">
      <w:pPr>
        <w:shd w:val="clear" w:color="auto" w:fill="FFFFFF"/>
        <w:spacing w:after="120"/>
        <w:rPr>
          <w:rFonts w:asciiTheme="majorHAnsi" w:hAnsiTheme="majorHAnsi"/>
          <w:b/>
        </w:rPr>
      </w:pPr>
    </w:p>
    <w:p w:rsidR="000872D2" w:rsidRDefault="000872D2" w:rsidP="000872D2">
      <w:pPr>
        <w:shd w:val="clear" w:color="auto" w:fill="FFFFFF"/>
        <w:spacing w:after="120"/>
        <w:rPr>
          <w:rFonts w:asciiTheme="majorHAnsi" w:hAnsiTheme="majorHAnsi"/>
          <w:b/>
        </w:rPr>
      </w:pPr>
    </w:p>
    <w:p w:rsidR="009914C2" w:rsidRDefault="009914C2" w:rsidP="000872D2">
      <w:pPr>
        <w:shd w:val="clear" w:color="auto" w:fill="FFFFFF"/>
        <w:spacing w:after="120"/>
        <w:rPr>
          <w:rFonts w:asciiTheme="majorHAnsi" w:hAnsiTheme="majorHAnsi"/>
          <w:b/>
        </w:rPr>
      </w:pPr>
    </w:p>
    <w:p w:rsidR="000872D2" w:rsidRPr="009950C9" w:rsidRDefault="000872D2" w:rsidP="000872D2">
      <w:pPr>
        <w:shd w:val="clear" w:color="auto" w:fill="FFFFFF"/>
        <w:spacing w:after="120"/>
        <w:rPr>
          <w:rFonts w:asciiTheme="majorHAnsi" w:hAnsiTheme="majorHAnsi"/>
          <w:b/>
        </w:rPr>
      </w:pPr>
      <w:r w:rsidRPr="009950C9">
        <w:rPr>
          <w:rFonts w:asciiTheme="majorHAnsi" w:hAnsiTheme="majorHAnsi"/>
          <w:b/>
        </w:rPr>
        <w:t>Incidenza del tasso di povertà relativa familiare per età della persona di riferimento e</w:t>
      </w:r>
    </w:p>
    <w:p w:rsidR="000872D2" w:rsidRPr="009950C9" w:rsidRDefault="000872D2" w:rsidP="000872D2">
      <w:pPr>
        <w:shd w:val="clear" w:color="auto" w:fill="FFFFFF"/>
        <w:spacing w:after="120"/>
        <w:rPr>
          <w:rFonts w:asciiTheme="majorHAnsi" w:hAnsiTheme="majorHAnsi"/>
          <w:b/>
        </w:rPr>
      </w:pPr>
      <w:r w:rsidRPr="009950C9">
        <w:rPr>
          <w:rFonts w:asciiTheme="majorHAnsi" w:hAnsiTheme="majorHAnsi"/>
          <w:b/>
        </w:rPr>
        <w:t>ripartizione geografica (valori %, anni 2014-2016)</w:t>
      </w:r>
    </w:p>
    <w:p w:rsidR="000872D2" w:rsidRDefault="000872D2" w:rsidP="000872D2">
      <w:pPr>
        <w:shd w:val="clear" w:color="auto" w:fill="FFFFFF"/>
        <w:spacing w:after="120"/>
        <w:rPr>
          <w:rFonts w:asciiTheme="majorHAnsi" w:hAnsiTheme="majorHAnsi"/>
          <w:b/>
        </w:rPr>
      </w:pPr>
      <w:r>
        <w:rPr>
          <w:rFonts w:asciiTheme="majorHAnsi" w:hAnsiTheme="majorHAnsi"/>
          <w:b/>
          <w:noProof/>
          <w:lang w:eastAsia="it-IT"/>
        </w:rPr>
        <w:drawing>
          <wp:inline distT="0" distB="0" distL="0" distR="0">
            <wp:extent cx="6115685" cy="1426210"/>
            <wp:effectExtent l="19050" t="0" r="0" b="0"/>
            <wp:docPr id="46"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6115685" cy="1426210"/>
                    </a:xfrm>
                    <a:prstGeom prst="rect">
                      <a:avLst/>
                    </a:prstGeom>
                    <a:noFill/>
                    <a:ln w="9525">
                      <a:noFill/>
                      <a:miter lim="800000"/>
                      <a:headEnd/>
                      <a:tailEnd/>
                    </a:ln>
                  </pic:spPr>
                </pic:pic>
              </a:graphicData>
            </a:graphic>
          </wp:inline>
        </w:drawing>
      </w:r>
    </w:p>
    <w:p w:rsidR="000872D2" w:rsidRDefault="000872D2" w:rsidP="000872D2">
      <w:pPr>
        <w:shd w:val="clear" w:color="auto" w:fill="FFFFFF"/>
        <w:spacing w:after="120"/>
        <w:rPr>
          <w:rFonts w:ascii="HelveticaLTStd-Cond" w:hAnsi="HelveticaLTStd-Cond" w:cs="HelveticaLTStd-Cond"/>
          <w:sz w:val="18"/>
          <w:szCs w:val="18"/>
          <w:lang w:eastAsia="it-IT"/>
        </w:rPr>
      </w:pPr>
      <w:r>
        <w:rPr>
          <w:rFonts w:ascii="HelveticaLTStd-Cond" w:hAnsi="HelveticaLTStd-Cond" w:cs="HelveticaLTStd-Cond"/>
          <w:sz w:val="18"/>
          <w:szCs w:val="18"/>
          <w:lang w:eastAsia="it-IT"/>
        </w:rPr>
        <w:t>Fonte: elaborazione Confindustria e SRM su dati ISTAT</w:t>
      </w:r>
    </w:p>
    <w:p w:rsidR="009156C0" w:rsidRDefault="009156C0" w:rsidP="00432E86">
      <w:pPr>
        <w:shd w:val="clear" w:color="auto" w:fill="FFFFFF"/>
        <w:spacing w:after="120"/>
        <w:rPr>
          <w:rFonts w:ascii="HelveticaLTStd-Cond" w:hAnsi="HelveticaLTStd-Cond" w:cs="HelveticaLTStd-Cond"/>
          <w:sz w:val="18"/>
          <w:szCs w:val="18"/>
          <w:lang w:eastAsia="it-IT"/>
        </w:rPr>
      </w:pPr>
    </w:p>
    <w:p w:rsidR="009156C0" w:rsidRDefault="009156C0" w:rsidP="00432E86">
      <w:pPr>
        <w:shd w:val="clear" w:color="auto" w:fill="FFFFFF"/>
        <w:spacing w:after="120"/>
        <w:rPr>
          <w:rFonts w:ascii="HelveticaLTStd-Cond" w:hAnsi="HelveticaLTStd-Cond" w:cs="HelveticaLTStd-Cond"/>
          <w:sz w:val="18"/>
          <w:szCs w:val="18"/>
          <w:lang w:eastAsia="it-IT"/>
        </w:rPr>
      </w:pPr>
    </w:p>
    <w:p w:rsidR="009156C0" w:rsidRDefault="009156C0" w:rsidP="009156C0">
      <w:pPr>
        <w:shd w:val="clear" w:color="auto" w:fill="FFFFFF"/>
        <w:spacing w:after="120"/>
        <w:rPr>
          <w:rFonts w:ascii="HelveticaLTStd-Cond" w:hAnsi="HelveticaLTStd-Cond" w:cs="HelveticaLTStd-Cond"/>
          <w:sz w:val="18"/>
          <w:szCs w:val="18"/>
          <w:lang w:eastAsia="it-IT"/>
        </w:rPr>
      </w:pPr>
      <w:r w:rsidRPr="009156C0">
        <w:rPr>
          <w:rFonts w:asciiTheme="majorHAnsi" w:hAnsiTheme="majorHAnsi"/>
          <w:b/>
        </w:rPr>
        <w:t>Credito di imposta per gli investimenti nel Mezzogiorno: utilizzo al 1° luglio 2017</w:t>
      </w:r>
      <w:r>
        <w:rPr>
          <w:rFonts w:ascii="HelveticaLTStd-Cond" w:hAnsi="HelveticaLTStd-Cond" w:cs="HelveticaLTStd-Cond"/>
          <w:color w:val="FFFFFF"/>
          <w:sz w:val="18"/>
          <w:szCs w:val="18"/>
          <w:lang w:eastAsia="it-IT"/>
        </w:rPr>
        <w:t>cidenza</w:t>
      </w:r>
    </w:p>
    <w:p w:rsidR="009156C0" w:rsidRDefault="009156C0" w:rsidP="00432E86">
      <w:pPr>
        <w:shd w:val="clear" w:color="auto" w:fill="FFFFFF"/>
        <w:spacing w:after="120"/>
        <w:rPr>
          <w:rFonts w:asciiTheme="majorHAnsi" w:hAnsiTheme="majorHAnsi"/>
          <w:b/>
        </w:rPr>
      </w:pPr>
      <w:r>
        <w:rPr>
          <w:rFonts w:asciiTheme="majorHAnsi" w:hAnsiTheme="majorHAnsi"/>
          <w:b/>
          <w:noProof/>
          <w:lang w:eastAsia="it-IT"/>
        </w:rPr>
        <w:drawing>
          <wp:inline distT="0" distB="0" distL="0" distR="0">
            <wp:extent cx="6115685" cy="1836420"/>
            <wp:effectExtent l="19050" t="0" r="0" b="0"/>
            <wp:docPr id="49"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6115685" cy="1836420"/>
                    </a:xfrm>
                    <a:prstGeom prst="rect">
                      <a:avLst/>
                    </a:prstGeom>
                    <a:noFill/>
                    <a:ln w="9525">
                      <a:noFill/>
                      <a:miter lim="800000"/>
                      <a:headEnd/>
                      <a:tailEnd/>
                    </a:ln>
                  </pic:spPr>
                </pic:pic>
              </a:graphicData>
            </a:graphic>
          </wp:inline>
        </w:drawing>
      </w:r>
    </w:p>
    <w:p w:rsidR="009156C0" w:rsidRDefault="009156C0" w:rsidP="009156C0">
      <w:pPr>
        <w:autoSpaceDE w:val="0"/>
        <w:autoSpaceDN w:val="0"/>
        <w:adjustRightInd w:val="0"/>
        <w:jc w:val="left"/>
        <w:rPr>
          <w:rFonts w:ascii="HelveticaLTStd-Cond" w:hAnsi="HelveticaLTStd-Cond" w:cs="HelveticaLTStd-Cond"/>
          <w:sz w:val="18"/>
          <w:szCs w:val="18"/>
          <w:lang w:eastAsia="it-IT"/>
        </w:rPr>
      </w:pPr>
      <w:r>
        <w:rPr>
          <w:rFonts w:ascii="HelveticaLTStd-Cond" w:hAnsi="HelveticaLTStd-Cond" w:cs="HelveticaLTStd-Cond"/>
          <w:sz w:val="18"/>
          <w:szCs w:val="18"/>
          <w:lang w:eastAsia="it-IT"/>
        </w:rPr>
        <w:t>* di cui 8.241 è il numero dei soggetti presenti nei quadri C per i quali è richiesta la certificazione antimafia</w:t>
      </w:r>
    </w:p>
    <w:p w:rsidR="009156C0" w:rsidRDefault="009156C0" w:rsidP="009156C0">
      <w:pPr>
        <w:shd w:val="clear" w:color="auto" w:fill="FFFFFF"/>
        <w:spacing w:after="120"/>
        <w:rPr>
          <w:rFonts w:asciiTheme="majorHAnsi" w:hAnsiTheme="majorHAnsi"/>
          <w:b/>
        </w:rPr>
      </w:pPr>
      <w:r>
        <w:rPr>
          <w:rFonts w:ascii="HelveticaLTStd-Cond" w:hAnsi="HelveticaLTStd-Cond" w:cs="HelveticaLTStd-Cond"/>
          <w:sz w:val="18"/>
          <w:szCs w:val="18"/>
          <w:lang w:eastAsia="it-IT"/>
        </w:rPr>
        <w:t>Fonte: elaborazione Confindustria e SRM su dati Agenzia delle Entrate</w:t>
      </w:r>
    </w:p>
    <w:sectPr w:rsidR="009156C0" w:rsidSect="007F4FFE">
      <w:footerReference w:type="default" r:id="rId3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77F" w:rsidRDefault="0084777F" w:rsidP="00B96E5E">
      <w:r>
        <w:separator/>
      </w:r>
    </w:p>
  </w:endnote>
  <w:endnote w:type="continuationSeparator" w:id="0">
    <w:p w:rsidR="0084777F" w:rsidRDefault="0084777F" w:rsidP="00B96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LTStd-Con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E5E" w:rsidRDefault="00B96E5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77F" w:rsidRDefault="0084777F" w:rsidP="00B96E5E">
      <w:r>
        <w:separator/>
      </w:r>
    </w:p>
  </w:footnote>
  <w:footnote w:type="continuationSeparator" w:id="0">
    <w:p w:rsidR="0084777F" w:rsidRDefault="0084777F" w:rsidP="00B96E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80549"/>
    <w:multiLevelType w:val="hybridMultilevel"/>
    <w:tmpl w:val="9AAEA3EC"/>
    <w:lvl w:ilvl="0" w:tplc="862E2576">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68B2CA1"/>
    <w:multiLevelType w:val="hybridMultilevel"/>
    <w:tmpl w:val="62AA714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4C702AE5"/>
    <w:multiLevelType w:val="hybridMultilevel"/>
    <w:tmpl w:val="A6BE4B74"/>
    <w:lvl w:ilvl="0" w:tplc="04100011">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338"/>
    <w:rsid w:val="00000464"/>
    <w:rsid w:val="00000703"/>
    <w:rsid w:val="00000B81"/>
    <w:rsid w:val="00001914"/>
    <w:rsid w:val="00001AE4"/>
    <w:rsid w:val="00001AF8"/>
    <w:rsid w:val="00001FCF"/>
    <w:rsid w:val="00002B2D"/>
    <w:rsid w:val="00003BF8"/>
    <w:rsid w:val="00003FB9"/>
    <w:rsid w:val="00004002"/>
    <w:rsid w:val="00005088"/>
    <w:rsid w:val="0000592C"/>
    <w:rsid w:val="00005B6A"/>
    <w:rsid w:val="00005C34"/>
    <w:rsid w:val="00007286"/>
    <w:rsid w:val="000101F6"/>
    <w:rsid w:val="00011005"/>
    <w:rsid w:val="00011DF5"/>
    <w:rsid w:val="00012141"/>
    <w:rsid w:val="000126A2"/>
    <w:rsid w:val="0001332A"/>
    <w:rsid w:val="000136AF"/>
    <w:rsid w:val="00014D9B"/>
    <w:rsid w:val="000170A1"/>
    <w:rsid w:val="000229E5"/>
    <w:rsid w:val="00022B33"/>
    <w:rsid w:val="00022BA2"/>
    <w:rsid w:val="00022BCC"/>
    <w:rsid w:val="000230AD"/>
    <w:rsid w:val="000236DC"/>
    <w:rsid w:val="00023D76"/>
    <w:rsid w:val="000248D3"/>
    <w:rsid w:val="000259EC"/>
    <w:rsid w:val="0002647D"/>
    <w:rsid w:val="00027742"/>
    <w:rsid w:val="00027AA0"/>
    <w:rsid w:val="000312FE"/>
    <w:rsid w:val="00032498"/>
    <w:rsid w:val="00035BB5"/>
    <w:rsid w:val="00035EFC"/>
    <w:rsid w:val="000365DA"/>
    <w:rsid w:val="0004081D"/>
    <w:rsid w:val="00041EDD"/>
    <w:rsid w:val="000436EA"/>
    <w:rsid w:val="00043901"/>
    <w:rsid w:val="00043F24"/>
    <w:rsid w:val="000441C6"/>
    <w:rsid w:val="0004507F"/>
    <w:rsid w:val="00045A0B"/>
    <w:rsid w:val="00046A08"/>
    <w:rsid w:val="00050372"/>
    <w:rsid w:val="00050C50"/>
    <w:rsid w:val="000514F0"/>
    <w:rsid w:val="0005203E"/>
    <w:rsid w:val="00052849"/>
    <w:rsid w:val="00054018"/>
    <w:rsid w:val="000547FF"/>
    <w:rsid w:val="0005542C"/>
    <w:rsid w:val="0005577E"/>
    <w:rsid w:val="00056343"/>
    <w:rsid w:val="00057856"/>
    <w:rsid w:val="00060925"/>
    <w:rsid w:val="00060AEA"/>
    <w:rsid w:val="00061075"/>
    <w:rsid w:val="000614C4"/>
    <w:rsid w:val="00061F7A"/>
    <w:rsid w:val="00062789"/>
    <w:rsid w:val="00063BFD"/>
    <w:rsid w:val="00064526"/>
    <w:rsid w:val="00064B9F"/>
    <w:rsid w:val="00064EBD"/>
    <w:rsid w:val="00065542"/>
    <w:rsid w:val="00065F57"/>
    <w:rsid w:val="0006602E"/>
    <w:rsid w:val="000661EA"/>
    <w:rsid w:val="0006649B"/>
    <w:rsid w:val="00066B88"/>
    <w:rsid w:val="00067546"/>
    <w:rsid w:val="000730C6"/>
    <w:rsid w:val="000740F3"/>
    <w:rsid w:val="000774AA"/>
    <w:rsid w:val="00080503"/>
    <w:rsid w:val="00082585"/>
    <w:rsid w:val="000837B0"/>
    <w:rsid w:val="00084993"/>
    <w:rsid w:val="00084A72"/>
    <w:rsid w:val="00084B34"/>
    <w:rsid w:val="00084C8C"/>
    <w:rsid w:val="00085BCE"/>
    <w:rsid w:val="000872D2"/>
    <w:rsid w:val="0008742C"/>
    <w:rsid w:val="00087CD9"/>
    <w:rsid w:val="00090884"/>
    <w:rsid w:val="000908A2"/>
    <w:rsid w:val="00090BB3"/>
    <w:rsid w:val="000911BE"/>
    <w:rsid w:val="000911D3"/>
    <w:rsid w:val="00091F4D"/>
    <w:rsid w:val="00093C8A"/>
    <w:rsid w:val="00095012"/>
    <w:rsid w:val="00095E8A"/>
    <w:rsid w:val="00095FB1"/>
    <w:rsid w:val="00096144"/>
    <w:rsid w:val="000975AD"/>
    <w:rsid w:val="000A0E39"/>
    <w:rsid w:val="000A0F36"/>
    <w:rsid w:val="000A20B3"/>
    <w:rsid w:val="000A21F4"/>
    <w:rsid w:val="000A2874"/>
    <w:rsid w:val="000A2B23"/>
    <w:rsid w:val="000A30FB"/>
    <w:rsid w:val="000A3171"/>
    <w:rsid w:val="000A44D7"/>
    <w:rsid w:val="000A4AAC"/>
    <w:rsid w:val="000A4C99"/>
    <w:rsid w:val="000A5D19"/>
    <w:rsid w:val="000A6AB8"/>
    <w:rsid w:val="000B04E2"/>
    <w:rsid w:val="000B0647"/>
    <w:rsid w:val="000B1737"/>
    <w:rsid w:val="000B1F91"/>
    <w:rsid w:val="000B3529"/>
    <w:rsid w:val="000B409C"/>
    <w:rsid w:val="000B4C36"/>
    <w:rsid w:val="000B4E6A"/>
    <w:rsid w:val="000B5748"/>
    <w:rsid w:val="000B61F2"/>
    <w:rsid w:val="000C0BB3"/>
    <w:rsid w:val="000C1664"/>
    <w:rsid w:val="000C2311"/>
    <w:rsid w:val="000C24C0"/>
    <w:rsid w:val="000C2904"/>
    <w:rsid w:val="000C5A12"/>
    <w:rsid w:val="000C5C8D"/>
    <w:rsid w:val="000C604E"/>
    <w:rsid w:val="000C64F4"/>
    <w:rsid w:val="000C7F03"/>
    <w:rsid w:val="000D1115"/>
    <w:rsid w:val="000D1FC7"/>
    <w:rsid w:val="000D25F0"/>
    <w:rsid w:val="000D36D3"/>
    <w:rsid w:val="000D39DE"/>
    <w:rsid w:val="000D3BEB"/>
    <w:rsid w:val="000D3C51"/>
    <w:rsid w:val="000D4888"/>
    <w:rsid w:val="000D4DAA"/>
    <w:rsid w:val="000D62FA"/>
    <w:rsid w:val="000D66CA"/>
    <w:rsid w:val="000D69FB"/>
    <w:rsid w:val="000D6C02"/>
    <w:rsid w:val="000E1248"/>
    <w:rsid w:val="000E3EE3"/>
    <w:rsid w:val="000E5711"/>
    <w:rsid w:val="000E6305"/>
    <w:rsid w:val="000E6BFA"/>
    <w:rsid w:val="000F15CB"/>
    <w:rsid w:val="000F41F0"/>
    <w:rsid w:val="000F4DA3"/>
    <w:rsid w:val="000F6569"/>
    <w:rsid w:val="000F6C7A"/>
    <w:rsid w:val="000F7480"/>
    <w:rsid w:val="000F76EC"/>
    <w:rsid w:val="00102BD0"/>
    <w:rsid w:val="001041E7"/>
    <w:rsid w:val="001059F6"/>
    <w:rsid w:val="00111C9D"/>
    <w:rsid w:val="00111F13"/>
    <w:rsid w:val="00111FC2"/>
    <w:rsid w:val="001139BA"/>
    <w:rsid w:val="001145D1"/>
    <w:rsid w:val="0011462A"/>
    <w:rsid w:val="001156DC"/>
    <w:rsid w:val="00117862"/>
    <w:rsid w:val="001202F8"/>
    <w:rsid w:val="00120D08"/>
    <w:rsid w:val="00120F5B"/>
    <w:rsid w:val="00121889"/>
    <w:rsid w:val="00121E18"/>
    <w:rsid w:val="00124B36"/>
    <w:rsid w:val="0012566D"/>
    <w:rsid w:val="00126308"/>
    <w:rsid w:val="00126618"/>
    <w:rsid w:val="00126C42"/>
    <w:rsid w:val="00126D49"/>
    <w:rsid w:val="00130E0A"/>
    <w:rsid w:val="0013192C"/>
    <w:rsid w:val="001333B6"/>
    <w:rsid w:val="001363B9"/>
    <w:rsid w:val="001364F2"/>
    <w:rsid w:val="00137165"/>
    <w:rsid w:val="001378B2"/>
    <w:rsid w:val="00140BEE"/>
    <w:rsid w:val="00143158"/>
    <w:rsid w:val="00143519"/>
    <w:rsid w:val="00144D2E"/>
    <w:rsid w:val="001461CD"/>
    <w:rsid w:val="0015119A"/>
    <w:rsid w:val="00151D38"/>
    <w:rsid w:val="001525D0"/>
    <w:rsid w:val="00154137"/>
    <w:rsid w:val="00154A05"/>
    <w:rsid w:val="00154DD9"/>
    <w:rsid w:val="00154F75"/>
    <w:rsid w:val="00155367"/>
    <w:rsid w:val="00156480"/>
    <w:rsid w:val="001568DA"/>
    <w:rsid w:val="00157539"/>
    <w:rsid w:val="00160C83"/>
    <w:rsid w:val="001617B6"/>
    <w:rsid w:val="00161B0D"/>
    <w:rsid w:val="00161D15"/>
    <w:rsid w:val="00162DA5"/>
    <w:rsid w:val="00162E00"/>
    <w:rsid w:val="00163447"/>
    <w:rsid w:val="00163D3E"/>
    <w:rsid w:val="001655B8"/>
    <w:rsid w:val="00165746"/>
    <w:rsid w:val="00166276"/>
    <w:rsid w:val="0016664A"/>
    <w:rsid w:val="00166673"/>
    <w:rsid w:val="00166F81"/>
    <w:rsid w:val="00167304"/>
    <w:rsid w:val="001675F9"/>
    <w:rsid w:val="001710BF"/>
    <w:rsid w:val="00171878"/>
    <w:rsid w:val="00172006"/>
    <w:rsid w:val="00172202"/>
    <w:rsid w:val="0017283A"/>
    <w:rsid w:val="00173710"/>
    <w:rsid w:val="0017460E"/>
    <w:rsid w:val="00174970"/>
    <w:rsid w:val="001755CA"/>
    <w:rsid w:val="001760C5"/>
    <w:rsid w:val="001766DE"/>
    <w:rsid w:val="00176951"/>
    <w:rsid w:val="00177146"/>
    <w:rsid w:val="00177210"/>
    <w:rsid w:val="001774DC"/>
    <w:rsid w:val="001775D8"/>
    <w:rsid w:val="00177E31"/>
    <w:rsid w:val="00182D51"/>
    <w:rsid w:val="00183B3C"/>
    <w:rsid w:val="00184188"/>
    <w:rsid w:val="00184888"/>
    <w:rsid w:val="00184C74"/>
    <w:rsid w:val="0018517D"/>
    <w:rsid w:val="001878C5"/>
    <w:rsid w:val="0019091C"/>
    <w:rsid w:val="0019103D"/>
    <w:rsid w:val="001913A7"/>
    <w:rsid w:val="00192397"/>
    <w:rsid w:val="001961EE"/>
    <w:rsid w:val="001964B3"/>
    <w:rsid w:val="0019680A"/>
    <w:rsid w:val="001971F4"/>
    <w:rsid w:val="001973CB"/>
    <w:rsid w:val="00197DAF"/>
    <w:rsid w:val="001A01C0"/>
    <w:rsid w:val="001A09F5"/>
    <w:rsid w:val="001A137D"/>
    <w:rsid w:val="001A163D"/>
    <w:rsid w:val="001A16AA"/>
    <w:rsid w:val="001A2C85"/>
    <w:rsid w:val="001A3E56"/>
    <w:rsid w:val="001A49A9"/>
    <w:rsid w:val="001A6197"/>
    <w:rsid w:val="001A695D"/>
    <w:rsid w:val="001A6EE8"/>
    <w:rsid w:val="001A74B0"/>
    <w:rsid w:val="001A768E"/>
    <w:rsid w:val="001B0AB0"/>
    <w:rsid w:val="001B19C0"/>
    <w:rsid w:val="001B1F12"/>
    <w:rsid w:val="001B2CB7"/>
    <w:rsid w:val="001B38B0"/>
    <w:rsid w:val="001B3C83"/>
    <w:rsid w:val="001B40C9"/>
    <w:rsid w:val="001B4338"/>
    <w:rsid w:val="001B473F"/>
    <w:rsid w:val="001B54EC"/>
    <w:rsid w:val="001B6A8C"/>
    <w:rsid w:val="001B6FC9"/>
    <w:rsid w:val="001B7826"/>
    <w:rsid w:val="001B7D7C"/>
    <w:rsid w:val="001C18B9"/>
    <w:rsid w:val="001C1C16"/>
    <w:rsid w:val="001C1D99"/>
    <w:rsid w:val="001C3000"/>
    <w:rsid w:val="001C40C5"/>
    <w:rsid w:val="001C418B"/>
    <w:rsid w:val="001C533C"/>
    <w:rsid w:val="001C5421"/>
    <w:rsid w:val="001C5821"/>
    <w:rsid w:val="001C66B4"/>
    <w:rsid w:val="001C6D59"/>
    <w:rsid w:val="001D03F7"/>
    <w:rsid w:val="001D048B"/>
    <w:rsid w:val="001D065A"/>
    <w:rsid w:val="001D42D3"/>
    <w:rsid w:val="001D5B1B"/>
    <w:rsid w:val="001D5E49"/>
    <w:rsid w:val="001E006F"/>
    <w:rsid w:val="001E1459"/>
    <w:rsid w:val="001E1E0E"/>
    <w:rsid w:val="001E3463"/>
    <w:rsid w:val="001E372F"/>
    <w:rsid w:val="001E3D27"/>
    <w:rsid w:val="001E46B6"/>
    <w:rsid w:val="001E4C47"/>
    <w:rsid w:val="001E5254"/>
    <w:rsid w:val="001E6304"/>
    <w:rsid w:val="001E6B18"/>
    <w:rsid w:val="001F0B79"/>
    <w:rsid w:val="001F18F6"/>
    <w:rsid w:val="001F24B5"/>
    <w:rsid w:val="001F2989"/>
    <w:rsid w:val="001F3859"/>
    <w:rsid w:val="001F3E2E"/>
    <w:rsid w:val="001F4258"/>
    <w:rsid w:val="001F42FC"/>
    <w:rsid w:val="001F4636"/>
    <w:rsid w:val="001F4E46"/>
    <w:rsid w:val="001F501F"/>
    <w:rsid w:val="001F6123"/>
    <w:rsid w:val="001F66AC"/>
    <w:rsid w:val="001F6DD3"/>
    <w:rsid w:val="002000E6"/>
    <w:rsid w:val="00201918"/>
    <w:rsid w:val="00201BE8"/>
    <w:rsid w:val="00201DCA"/>
    <w:rsid w:val="0020302E"/>
    <w:rsid w:val="002030D3"/>
    <w:rsid w:val="00203A85"/>
    <w:rsid w:val="002042A4"/>
    <w:rsid w:val="002046BB"/>
    <w:rsid w:val="002056D7"/>
    <w:rsid w:val="00206AA7"/>
    <w:rsid w:val="00206AD2"/>
    <w:rsid w:val="00206BCA"/>
    <w:rsid w:val="00206CDD"/>
    <w:rsid w:val="002127DD"/>
    <w:rsid w:val="002151E4"/>
    <w:rsid w:val="00216CAC"/>
    <w:rsid w:val="002175B1"/>
    <w:rsid w:val="00217754"/>
    <w:rsid w:val="002207C2"/>
    <w:rsid w:val="002208DC"/>
    <w:rsid w:val="00222466"/>
    <w:rsid w:val="00222CAD"/>
    <w:rsid w:val="00222F1B"/>
    <w:rsid w:val="00224D47"/>
    <w:rsid w:val="00225C19"/>
    <w:rsid w:val="00226043"/>
    <w:rsid w:val="002262DB"/>
    <w:rsid w:val="0022654D"/>
    <w:rsid w:val="002275D4"/>
    <w:rsid w:val="00230E9C"/>
    <w:rsid w:val="00230EF4"/>
    <w:rsid w:val="002310DF"/>
    <w:rsid w:val="002311EE"/>
    <w:rsid w:val="00231936"/>
    <w:rsid w:val="00232F40"/>
    <w:rsid w:val="0023422B"/>
    <w:rsid w:val="00234B9C"/>
    <w:rsid w:val="00234F4D"/>
    <w:rsid w:val="00235C81"/>
    <w:rsid w:val="00235EDE"/>
    <w:rsid w:val="002418B7"/>
    <w:rsid w:val="00241A91"/>
    <w:rsid w:val="00241DA8"/>
    <w:rsid w:val="00243793"/>
    <w:rsid w:val="00244EC7"/>
    <w:rsid w:val="00245880"/>
    <w:rsid w:val="002466DF"/>
    <w:rsid w:val="00246D3D"/>
    <w:rsid w:val="00247CD4"/>
    <w:rsid w:val="002503C4"/>
    <w:rsid w:val="00250A2B"/>
    <w:rsid w:val="00251E04"/>
    <w:rsid w:val="002530B7"/>
    <w:rsid w:val="002531A6"/>
    <w:rsid w:val="00255D7E"/>
    <w:rsid w:val="002562FF"/>
    <w:rsid w:val="00256D99"/>
    <w:rsid w:val="00257DCC"/>
    <w:rsid w:val="00257E24"/>
    <w:rsid w:val="00260905"/>
    <w:rsid w:val="00260E29"/>
    <w:rsid w:val="00261853"/>
    <w:rsid w:val="00261897"/>
    <w:rsid w:val="0026203B"/>
    <w:rsid w:val="002642B4"/>
    <w:rsid w:val="00264380"/>
    <w:rsid w:val="00266172"/>
    <w:rsid w:val="00266DD0"/>
    <w:rsid w:val="00270401"/>
    <w:rsid w:val="0027286D"/>
    <w:rsid w:val="00272DC2"/>
    <w:rsid w:val="002734E6"/>
    <w:rsid w:val="002757A0"/>
    <w:rsid w:val="00275B38"/>
    <w:rsid w:val="00275DB1"/>
    <w:rsid w:val="002767FE"/>
    <w:rsid w:val="002768EF"/>
    <w:rsid w:val="00276D60"/>
    <w:rsid w:val="00277573"/>
    <w:rsid w:val="002775F3"/>
    <w:rsid w:val="0028053F"/>
    <w:rsid w:val="00280E25"/>
    <w:rsid w:val="002817C4"/>
    <w:rsid w:val="00281E5A"/>
    <w:rsid w:val="00282271"/>
    <w:rsid w:val="00283A4E"/>
    <w:rsid w:val="00283D04"/>
    <w:rsid w:val="002845DA"/>
    <w:rsid w:val="00285A0B"/>
    <w:rsid w:val="00285C32"/>
    <w:rsid w:val="002866BB"/>
    <w:rsid w:val="00286816"/>
    <w:rsid w:val="00287BCE"/>
    <w:rsid w:val="00287DC1"/>
    <w:rsid w:val="002910A7"/>
    <w:rsid w:val="002915AB"/>
    <w:rsid w:val="00291962"/>
    <w:rsid w:val="0029222B"/>
    <w:rsid w:val="00293109"/>
    <w:rsid w:val="00293A78"/>
    <w:rsid w:val="00293FD5"/>
    <w:rsid w:val="002948C9"/>
    <w:rsid w:val="00294C5F"/>
    <w:rsid w:val="00294CF8"/>
    <w:rsid w:val="00294E6B"/>
    <w:rsid w:val="0029585B"/>
    <w:rsid w:val="00295D34"/>
    <w:rsid w:val="00297084"/>
    <w:rsid w:val="00297159"/>
    <w:rsid w:val="00297249"/>
    <w:rsid w:val="002A0931"/>
    <w:rsid w:val="002A150B"/>
    <w:rsid w:val="002A1FAD"/>
    <w:rsid w:val="002A2206"/>
    <w:rsid w:val="002A29F8"/>
    <w:rsid w:val="002A45BE"/>
    <w:rsid w:val="002A4C87"/>
    <w:rsid w:val="002A53B7"/>
    <w:rsid w:val="002A577B"/>
    <w:rsid w:val="002A581B"/>
    <w:rsid w:val="002A5BFA"/>
    <w:rsid w:val="002A6A6D"/>
    <w:rsid w:val="002A79A7"/>
    <w:rsid w:val="002A7A62"/>
    <w:rsid w:val="002B0D80"/>
    <w:rsid w:val="002B178D"/>
    <w:rsid w:val="002B1C7C"/>
    <w:rsid w:val="002B24C2"/>
    <w:rsid w:val="002B2C55"/>
    <w:rsid w:val="002B32BD"/>
    <w:rsid w:val="002B5069"/>
    <w:rsid w:val="002B671E"/>
    <w:rsid w:val="002C436D"/>
    <w:rsid w:val="002C4DB7"/>
    <w:rsid w:val="002C52F3"/>
    <w:rsid w:val="002C52F8"/>
    <w:rsid w:val="002C744B"/>
    <w:rsid w:val="002D04A1"/>
    <w:rsid w:val="002D125A"/>
    <w:rsid w:val="002D1315"/>
    <w:rsid w:val="002D2067"/>
    <w:rsid w:val="002D20CF"/>
    <w:rsid w:val="002D40DE"/>
    <w:rsid w:val="002D448C"/>
    <w:rsid w:val="002D52F0"/>
    <w:rsid w:val="002D61EE"/>
    <w:rsid w:val="002D750D"/>
    <w:rsid w:val="002D78D1"/>
    <w:rsid w:val="002D7AE8"/>
    <w:rsid w:val="002E1347"/>
    <w:rsid w:val="002E3AC0"/>
    <w:rsid w:val="002E3E1A"/>
    <w:rsid w:val="002E6188"/>
    <w:rsid w:val="002E672C"/>
    <w:rsid w:val="002E691F"/>
    <w:rsid w:val="002E6E47"/>
    <w:rsid w:val="002E6EA0"/>
    <w:rsid w:val="002E7B58"/>
    <w:rsid w:val="002E7BDC"/>
    <w:rsid w:val="002F0D42"/>
    <w:rsid w:val="002F11F8"/>
    <w:rsid w:val="002F152F"/>
    <w:rsid w:val="002F15BE"/>
    <w:rsid w:val="002F15E7"/>
    <w:rsid w:val="002F1624"/>
    <w:rsid w:val="002F21FE"/>
    <w:rsid w:val="002F26B1"/>
    <w:rsid w:val="002F3125"/>
    <w:rsid w:val="002F3522"/>
    <w:rsid w:val="002F3696"/>
    <w:rsid w:val="002F3867"/>
    <w:rsid w:val="002F41C3"/>
    <w:rsid w:val="002F500C"/>
    <w:rsid w:val="002F5833"/>
    <w:rsid w:val="002F6518"/>
    <w:rsid w:val="003003E1"/>
    <w:rsid w:val="00301C02"/>
    <w:rsid w:val="00301FEF"/>
    <w:rsid w:val="0030203C"/>
    <w:rsid w:val="00302837"/>
    <w:rsid w:val="003029E3"/>
    <w:rsid w:val="00302E33"/>
    <w:rsid w:val="00303599"/>
    <w:rsid w:val="00305CCB"/>
    <w:rsid w:val="0030680C"/>
    <w:rsid w:val="00310376"/>
    <w:rsid w:val="00310415"/>
    <w:rsid w:val="003115F7"/>
    <w:rsid w:val="00311632"/>
    <w:rsid w:val="00312987"/>
    <w:rsid w:val="00315064"/>
    <w:rsid w:val="003163A3"/>
    <w:rsid w:val="003165E3"/>
    <w:rsid w:val="00317C6F"/>
    <w:rsid w:val="0032029B"/>
    <w:rsid w:val="00320A05"/>
    <w:rsid w:val="0032243B"/>
    <w:rsid w:val="00323CFB"/>
    <w:rsid w:val="00323D55"/>
    <w:rsid w:val="00324408"/>
    <w:rsid w:val="00324678"/>
    <w:rsid w:val="00326461"/>
    <w:rsid w:val="00326502"/>
    <w:rsid w:val="003269A8"/>
    <w:rsid w:val="003315BB"/>
    <w:rsid w:val="00331BA8"/>
    <w:rsid w:val="00332959"/>
    <w:rsid w:val="003331BB"/>
    <w:rsid w:val="00334400"/>
    <w:rsid w:val="003348A5"/>
    <w:rsid w:val="003349F6"/>
    <w:rsid w:val="00335BA8"/>
    <w:rsid w:val="00340131"/>
    <w:rsid w:val="003419E7"/>
    <w:rsid w:val="00342A3B"/>
    <w:rsid w:val="0034355F"/>
    <w:rsid w:val="00344189"/>
    <w:rsid w:val="00344256"/>
    <w:rsid w:val="00344376"/>
    <w:rsid w:val="00344A32"/>
    <w:rsid w:val="0034623C"/>
    <w:rsid w:val="003471FA"/>
    <w:rsid w:val="0034741C"/>
    <w:rsid w:val="00347550"/>
    <w:rsid w:val="00347C26"/>
    <w:rsid w:val="003517E9"/>
    <w:rsid w:val="003534E2"/>
    <w:rsid w:val="003538A5"/>
    <w:rsid w:val="0035414E"/>
    <w:rsid w:val="003560FC"/>
    <w:rsid w:val="003567E3"/>
    <w:rsid w:val="0036097C"/>
    <w:rsid w:val="003609C8"/>
    <w:rsid w:val="0036399C"/>
    <w:rsid w:val="00363B2A"/>
    <w:rsid w:val="003641E7"/>
    <w:rsid w:val="00364DA2"/>
    <w:rsid w:val="003651DC"/>
    <w:rsid w:val="0036558C"/>
    <w:rsid w:val="003657A2"/>
    <w:rsid w:val="00365CC9"/>
    <w:rsid w:val="0036606A"/>
    <w:rsid w:val="0036610B"/>
    <w:rsid w:val="00367498"/>
    <w:rsid w:val="00372833"/>
    <w:rsid w:val="00372AF6"/>
    <w:rsid w:val="00372E7D"/>
    <w:rsid w:val="003736B2"/>
    <w:rsid w:val="00373916"/>
    <w:rsid w:val="00373DB6"/>
    <w:rsid w:val="003758CC"/>
    <w:rsid w:val="003769C5"/>
    <w:rsid w:val="00376AE3"/>
    <w:rsid w:val="00377D79"/>
    <w:rsid w:val="003803D9"/>
    <w:rsid w:val="003814F8"/>
    <w:rsid w:val="00381539"/>
    <w:rsid w:val="003846CE"/>
    <w:rsid w:val="00385A7D"/>
    <w:rsid w:val="00385BA7"/>
    <w:rsid w:val="00385D79"/>
    <w:rsid w:val="00386724"/>
    <w:rsid w:val="00387A14"/>
    <w:rsid w:val="00387E81"/>
    <w:rsid w:val="00390398"/>
    <w:rsid w:val="00390A34"/>
    <w:rsid w:val="00392458"/>
    <w:rsid w:val="003925C1"/>
    <w:rsid w:val="003933C8"/>
    <w:rsid w:val="00394263"/>
    <w:rsid w:val="0039429C"/>
    <w:rsid w:val="003952D1"/>
    <w:rsid w:val="00395C16"/>
    <w:rsid w:val="00395D67"/>
    <w:rsid w:val="00396259"/>
    <w:rsid w:val="003A202B"/>
    <w:rsid w:val="003A27E1"/>
    <w:rsid w:val="003A2887"/>
    <w:rsid w:val="003A4EC6"/>
    <w:rsid w:val="003A530A"/>
    <w:rsid w:val="003A7183"/>
    <w:rsid w:val="003A73EB"/>
    <w:rsid w:val="003A7AC6"/>
    <w:rsid w:val="003B0990"/>
    <w:rsid w:val="003B0ADC"/>
    <w:rsid w:val="003B0BE1"/>
    <w:rsid w:val="003B48AD"/>
    <w:rsid w:val="003B4D9A"/>
    <w:rsid w:val="003B58D8"/>
    <w:rsid w:val="003B6518"/>
    <w:rsid w:val="003B6748"/>
    <w:rsid w:val="003B6A48"/>
    <w:rsid w:val="003B6AED"/>
    <w:rsid w:val="003C0666"/>
    <w:rsid w:val="003C0751"/>
    <w:rsid w:val="003C287F"/>
    <w:rsid w:val="003C2ED6"/>
    <w:rsid w:val="003C30A8"/>
    <w:rsid w:val="003C4AAE"/>
    <w:rsid w:val="003C4D12"/>
    <w:rsid w:val="003C5071"/>
    <w:rsid w:val="003C6435"/>
    <w:rsid w:val="003C731C"/>
    <w:rsid w:val="003C74AC"/>
    <w:rsid w:val="003D05EE"/>
    <w:rsid w:val="003D0600"/>
    <w:rsid w:val="003D16FB"/>
    <w:rsid w:val="003D2DFF"/>
    <w:rsid w:val="003D38FF"/>
    <w:rsid w:val="003D3D95"/>
    <w:rsid w:val="003D50CA"/>
    <w:rsid w:val="003D5EAF"/>
    <w:rsid w:val="003D63E3"/>
    <w:rsid w:val="003D666E"/>
    <w:rsid w:val="003D697A"/>
    <w:rsid w:val="003D6E51"/>
    <w:rsid w:val="003E01E3"/>
    <w:rsid w:val="003E09DE"/>
    <w:rsid w:val="003E16B3"/>
    <w:rsid w:val="003E17D2"/>
    <w:rsid w:val="003E20A3"/>
    <w:rsid w:val="003E21BA"/>
    <w:rsid w:val="003E3ABD"/>
    <w:rsid w:val="003E3BCA"/>
    <w:rsid w:val="003E3D97"/>
    <w:rsid w:val="003E4FC7"/>
    <w:rsid w:val="003E542A"/>
    <w:rsid w:val="003E62E5"/>
    <w:rsid w:val="003F1186"/>
    <w:rsid w:val="003F14B5"/>
    <w:rsid w:val="003F15DD"/>
    <w:rsid w:val="003F1DE6"/>
    <w:rsid w:val="003F25F8"/>
    <w:rsid w:val="003F2844"/>
    <w:rsid w:val="003F31BB"/>
    <w:rsid w:val="003F4370"/>
    <w:rsid w:val="003F4B07"/>
    <w:rsid w:val="003F59D5"/>
    <w:rsid w:val="003F5AD9"/>
    <w:rsid w:val="00400DEC"/>
    <w:rsid w:val="00402830"/>
    <w:rsid w:val="00404BBA"/>
    <w:rsid w:val="004050B3"/>
    <w:rsid w:val="00405C1F"/>
    <w:rsid w:val="00406BB1"/>
    <w:rsid w:val="00407A05"/>
    <w:rsid w:val="00407D72"/>
    <w:rsid w:val="00407F17"/>
    <w:rsid w:val="00410377"/>
    <w:rsid w:val="00410FBB"/>
    <w:rsid w:val="00411D45"/>
    <w:rsid w:val="004130A2"/>
    <w:rsid w:val="004136E1"/>
    <w:rsid w:val="00413ADA"/>
    <w:rsid w:val="004158B9"/>
    <w:rsid w:val="00415AD7"/>
    <w:rsid w:val="00415CC5"/>
    <w:rsid w:val="00415E57"/>
    <w:rsid w:val="004164B8"/>
    <w:rsid w:val="004168BA"/>
    <w:rsid w:val="00417F2D"/>
    <w:rsid w:val="0042000D"/>
    <w:rsid w:val="00420204"/>
    <w:rsid w:val="0042025D"/>
    <w:rsid w:val="00420DC3"/>
    <w:rsid w:val="00420E0E"/>
    <w:rsid w:val="00421A76"/>
    <w:rsid w:val="00421E4D"/>
    <w:rsid w:val="00422720"/>
    <w:rsid w:val="004254A4"/>
    <w:rsid w:val="00425DFA"/>
    <w:rsid w:val="004265D7"/>
    <w:rsid w:val="004270D1"/>
    <w:rsid w:val="00427AA3"/>
    <w:rsid w:val="00427E6A"/>
    <w:rsid w:val="00430824"/>
    <w:rsid w:val="00431560"/>
    <w:rsid w:val="004319DB"/>
    <w:rsid w:val="00431C38"/>
    <w:rsid w:val="004320FC"/>
    <w:rsid w:val="0043219D"/>
    <w:rsid w:val="00432E86"/>
    <w:rsid w:val="00433936"/>
    <w:rsid w:val="00433BBC"/>
    <w:rsid w:val="00434296"/>
    <w:rsid w:val="0043438D"/>
    <w:rsid w:val="00435241"/>
    <w:rsid w:val="00435EF1"/>
    <w:rsid w:val="00436196"/>
    <w:rsid w:val="00437A2A"/>
    <w:rsid w:val="00437AD9"/>
    <w:rsid w:val="004414C8"/>
    <w:rsid w:val="00441A5D"/>
    <w:rsid w:val="004426D6"/>
    <w:rsid w:val="00442A9D"/>
    <w:rsid w:val="004431DF"/>
    <w:rsid w:val="00443F34"/>
    <w:rsid w:val="00443F69"/>
    <w:rsid w:val="00444287"/>
    <w:rsid w:val="00445DD1"/>
    <w:rsid w:val="00447AF4"/>
    <w:rsid w:val="00447B5E"/>
    <w:rsid w:val="00447F31"/>
    <w:rsid w:val="00447F7C"/>
    <w:rsid w:val="0045037E"/>
    <w:rsid w:val="00452B5E"/>
    <w:rsid w:val="00453B26"/>
    <w:rsid w:val="00454094"/>
    <w:rsid w:val="004551A0"/>
    <w:rsid w:val="0046079D"/>
    <w:rsid w:val="00460F51"/>
    <w:rsid w:val="004611F8"/>
    <w:rsid w:val="004618A7"/>
    <w:rsid w:val="0046305A"/>
    <w:rsid w:val="0046370A"/>
    <w:rsid w:val="00463942"/>
    <w:rsid w:val="00463D42"/>
    <w:rsid w:val="00465E9E"/>
    <w:rsid w:val="004663AF"/>
    <w:rsid w:val="00467790"/>
    <w:rsid w:val="00467883"/>
    <w:rsid w:val="00467913"/>
    <w:rsid w:val="0047006C"/>
    <w:rsid w:val="004709CA"/>
    <w:rsid w:val="00470C36"/>
    <w:rsid w:val="004721C8"/>
    <w:rsid w:val="00472717"/>
    <w:rsid w:val="00472F48"/>
    <w:rsid w:val="00473811"/>
    <w:rsid w:val="00474575"/>
    <w:rsid w:val="00474B47"/>
    <w:rsid w:val="00474C56"/>
    <w:rsid w:val="00475B7C"/>
    <w:rsid w:val="00476DA1"/>
    <w:rsid w:val="004777AF"/>
    <w:rsid w:val="0048000F"/>
    <w:rsid w:val="0048011F"/>
    <w:rsid w:val="00480268"/>
    <w:rsid w:val="00481011"/>
    <w:rsid w:val="0048155E"/>
    <w:rsid w:val="004816B1"/>
    <w:rsid w:val="00482C14"/>
    <w:rsid w:val="0048383C"/>
    <w:rsid w:val="00483F3C"/>
    <w:rsid w:val="004847E4"/>
    <w:rsid w:val="00485DEC"/>
    <w:rsid w:val="00486304"/>
    <w:rsid w:val="00486B28"/>
    <w:rsid w:val="00487A5B"/>
    <w:rsid w:val="00487D75"/>
    <w:rsid w:val="00487E44"/>
    <w:rsid w:val="00490F19"/>
    <w:rsid w:val="004928DE"/>
    <w:rsid w:val="00492F42"/>
    <w:rsid w:val="004933C6"/>
    <w:rsid w:val="00493435"/>
    <w:rsid w:val="00493F29"/>
    <w:rsid w:val="00494051"/>
    <w:rsid w:val="00494ED1"/>
    <w:rsid w:val="004952CB"/>
    <w:rsid w:val="00496221"/>
    <w:rsid w:val="00496346"/>
    <w:rsid w:val="004963BB"/>
    <w:rsid w:val="0049663D"/>
    <w:rsid w:val="004969CA"/>
    <w:rsid w:val="00497594"/>
    <w:rsid w:val="004A1013"/>
    <w:rsid w:val="004A17AB"/>
    <w:rsid w:val="004A1D0B"/>
    <w:rsid w:val="004A2A46"/>
    <w:rsid w:val="004A2B14"/>
    <w:rsid w:val="004A2D7E"/>
    <w:rsid w:val="004A69DF"/>
    <w:rsid w:val="004A71DB"/>
    <w:rsid w:val="004A7626"/>
    <w:rsid w:val="004A7D14"/>
    <w:rsid w:val="004B1810"/>
    <w:rsid w:val="004B1C32"/>
    <w:rsid w:val="004B1CB9"/>
    <w:rsid w:val="004B237D"/>
    <w:rsid w:val="004B2C04"/>
    <w:rsid w:val="004B312D"/>
    <w:rsid w:val="004B4381"/>
    <w:rsid w:val="004B48C6"/>
    <w:rsid w:val="004B50D0"/>
    <w:rsid w:val="004B72FB"/>
    <w:rsid w:val="004B79AA"/>
    <w:rsid w:val="004C02E3"/>
    <w:rsid w:val="004C086C"/>
    <w:rsid w:val="004C0B8D"/>
    <w:rsid w:val="004C168A"/>
    <w:rsid w:val="004C19EA"/>
    <w:rsid w:val="004C32F5"/>
    <w:rsid w:val="004C7AB9"/>
    <w:rsid w:val="004C7AFB"/>
    <w:rsid w:val="004C7B6D"/>
    <w:rsid w:val="004D1E02"/>
    <w:rsid w:val="004D2184"/>
    <w:rsid w:val="004D21AD"/>
    <w:rsid w:val="004D3821"/>
    <w:rsid w:val="004D3CB6"/>
    <w:rsid w:val="004D4009"/>
    <w:rsid w:val="004D583A"/>
    <w:rsid w:val="004D5A80"/>
    <w:rsid w:val="004D5D62"/>
    <w:rsid w:val="004D6320"/>
    <w:rsid w:val="004E0845"/>
    <w:rsid w:val="004E0AAE"/>
    <w:rsid w:val="004E0D68"/>
    <w:rsid w:val="004E1618"/>
    <w:rsid w:val="004E2BD7"/>
    <w:rsid w:val="004E2E45"/>
    <w:rsid w:val="004E59CF"/>
    <w:rsid w:val="004E59E0"/>
    <w:rsid w:val="004E7126"/>
    <w:rsid w:val="004F16DF"/>
    <w:rsid w:val="004F1E4B"/>
    <w:rsid w:val="004F2940"/>
    <w:rsid w:val="004F2B75"/>
    <w:rsid w:val="004F3540"/>
    <w:rsid w:val="004F3919"/>
    <w:rsid w:val="004F7CBA"/>
    <w:rsid w:val="00500832"/>
    <w:rsid w:val="00501740"/>
    <w:rsid w:val="00502EA5"/>
    <w:rsid w:val="005031F1"/>
    <w:rsid w:val="0050455C"/>
    <w:rsid w:val="00504CCC"/>
    <w:rsid w:val="00504DA9"/>
    <w:rsid w:val="00510D7C"/>
    <w:rsid w:val="005115B0"/>
    <w:rsid w:val="00511E38"/>
    <w:rsid w:val="00512A0E"/>
    <w:rsid w:val="00512DF0"/>
    <w:rsid w:val="005159B5"/>
    <w:rsid w:val="00516558"/>
    <w:rsid w:val="00516DA1"/>
    <w:rsid w:val="00517083"/>
    <w:rsid w:val="005172E1"/>
    <w:rsid w:val="00517AAE"/>
    <w:rsid w:val="0052050C"/>
    <w:rsid w:val="00520B97"/>
    <w:rsid w:val="00520C49"/>
    <w:rsid w:val="00521F9B"/>
    <w:rsid w:val="00522A5C"/>
    <w:rsid w:val="00523D75"/>
    <w:rsid w:val="00524875"/>
    <w:rsid w:val="00525393"/>
    <w:rsid w:val="00525F80"/>
    <w:rsid w:val="005260BD"/>
    <w:rsid w:val="00526B5D"/>
    <w:rsid w:val="005271AE"/>
    <w:rsid w:val="00527BED"/>
    <w:rsid w:val="00530295"/>
    <w:rsid w:val="005315A1"/>
    <w:rsid w:val="005324B9"/>
    <w:rsid w:val="00532745"/>
    <w:rsid w:val="0053302D"/>
    <w:rsid w:val="00533EA2"/>
    <w:rsid w:val="00535625"/>
    <w:rsid w:val="00535BA4"/>
    <w:rsid w:val="00536192"/>
    <w:rsid w:val="005368FC"/>
    <w:rsid w:val="00536A87"/>
    <w:rsid w:val="00536C33"/>
    <w:rsid w:val="00536E20"/>
    <w:rsid w:val="00536FB6"/>
    <w:rsid w:val="0054126A"/>
    <w:rsid w:val="005413BF"/>
    <w:rsid w:val="0054169F"/>
    <w:rsid w:val="00542EFD"/>
    <w:rsid w:val="00543338"/>
    <w:rsid w:val="00543943"/>
    <w:rsid w:val="00544663"/>
    <w:rsid w:val="00545863"/>
    <w:rsid w:val="00545ABE"/>
    <w:rsid w:val="00545E09"/>
    <w:rsid w:val="00547362"/>
    <w:rsid w:val="005500B1"/>
    <w:rsid w:val="005505B4"/>
    <w:rsid w:val="005508D4"/>
    <w:rsid w:val="00550D4F"/>
    <w:rsid w:val="00551603"/>
    <w:rsid w:val="00552FB2"/>
    <w:rsid w:val="00554879"/>
    <w:rsid w:val="00555C60"/>
    <w:rsid w:val="00556B0A"/>
    <w:rsid w:val="00561A72"/>
    <w:rsid w:val="0056304D"/>
    <w:rsid w:val="00563774"/>
    <w:rsid w:val="00563ED7"/>
    <w:rsid w:val="0056582C"/>
    <w:rsid w:val="00565F62"/>
    <w:rsid w:val="0056720A"/>
    <w:rsid w:val="005678F4"/>
    <w:rsid w:val="00567E57"/>
    <w:rsid w:val="00571B6E"/>
    <w:rsid w:val="00571DE2"/>
    <w:rsid w:val="00571EE8"/>
    <w:rsid w:val="00573A76"/>
    <w:rsid w:val="005746FE"/>
    <w:rsid w:val="00574BB5"/>
    <w:rsid w:val="005755C7"/>
    <w:rsid w:val="0057794D"/>
    <w:rsid w:val="005812B9"/>
    <w:rsid w:val="00581651"/>
    <w:rsid w:val="00581B99"/>
    <w:rsid w:val="00582089"/>
    <w:rsid w:val="005824E5"/>
    <w:rsid w:val="005846E1"/>
    <w:rsid w:val="00585DCC"/>
    <w:rsid w:val="00586D8F"/>
    <w:rsid w:val="0058793A"/>
    <w:rsid w:val="00587ACB"/>
    <w:rsid w:val="005932A0"/>
    <w:rsid w:val="00593ED1"/>
    <w:rsid w:val="00594653"/>
    <w:rsid w:val="00594B63"/>
    <w:rsid w:val="005969E8"/>
    <w:rsid w:val="00596AEB"/>
    <w:rsid w:val="00597889"/>
    <w:rsid w:val="005A0A33"/>
    <w:rsid w:val="005A11A5"/>
    <w:rsid w:val="005A179A"/>
    <w:rsid w:val="005A1918"/>
    <w:rsid w:val="005A29C4"/>
    <w:rsid w:val="005A2C30"/>
    <w:rsid w:val="005A4208"/>
    <w:rsid w:val="005A6878"/>
    <w:rsid w:val="005A7309"/>
    <w:rsid w:val="005B0BF0"/>
    <w:rsid w:val="005B18B4"/>
    <w:rsid w:val="005B1F6F"/>
    <w:rsid w:val="005B27B0"/>
    <w:rsid w:val="005B3362"/>
    <w:rsid w:val="005B36FE"/>
    <w:rsid w:val="005B3811"/>
    <w:rsid w:val="005B3B30"/>
    <w:rsid w:val="005B3F82"/>
    <w:rsid w:val="005B46D7"/>
    <w:rsid w:val="005B53E6"/>
    <w:rsid w:val="005B5432"/>
    <w:rsid w:val="005B54E4"/>
    <w:rsid w:val="005B6CD1"/>
    <w:rsid w:val="005B7067"/>
    <w:rsid w:val="005B7195"/>
    <w:rsid w:val="005B7B3E"/>
    <w:rsid w:val="005C105A"/>
    <w:rsid w:val="005C1A5F"/>
    <w:rsid w:val="005C484E"/>
    <w:rsid w:val="005C4F41"/>
    <w:rsid w:val="005C539E"/>
    <w:rsid w:val="005C7124"/>
    <w:rsid w:val="005C7622"/>
    <w:rsid w:val="005D00BE"/>
    <w:rsid w:val="005D2788"/>
    <w:rsid w:val="005D34FF"/>
    <w:rsid w:val="005D3CC1"/>
    <w:rsid w:val="005D53B5"/>
    <w:rsid w:val="005D5526"/>
    <w:rsid w:val="005D6B4C"/>
    <w:rsid w:val="005D70A5"/>
    <w:rsid w:val="005D7576"/>
    <w:rsid w:val="005E093E"/>
    <w:rsid w:val="005E137F"/>
    <w:rsid w:val="005E371B"/>
    <w:rsid w:val="005E3B3D"/>
    <w:rsid w:val="005E3D46"/>
    <w:rsid w:val="005E4694"/>
    <w:rsid w:val="005E4783"/>
    <w:rsid w:val="005E5AD0"/>
    <w:rsid w:val="005E6A45"/>
    <w:rsid w:val="005F0ADE"/>
    <w:rsid w:val="005F1BA5"/>
    <w:rsid w:val="005F3E46"/>
    <w:rsid w:val="005F6BAC"/>
    <w:rsid w:val="005F72C8"/>
    <w:rsid w:val="00600DC1"/>
    <w:rsid w:val="006010CE"/>
    <w:rsid w:val="00602F65"/>
    <w:rsid w:val="00603198"/>
    <w:rsid w:val="0060335F"/>
    <w:rsid w:val="00603C58"/>
    <w:rsid w:val="00603E21"/>
    <w:rsid w:val="00603FFD"/>
    <w:rsid w:val="00604FAE"/>
    <w:rsid w:val="00605317"/>
    <w:rsid w:val="006062BB"/>
    <w:rsid w:val="00607329"/>
    <w:rsid w:val="00607C77"/>
    <w:rsid w:val="00612569"/>
    <w:rsid w:val="00612B2F"/>
    <w:rsid w:val="006132E8"/>
    <w:rsid w:val="00613A6C"/>
    <w:rsid w:val="00613AA3"/>
    <w:rsid w:val="00613AC6"/>
    <w:rsid w:val="0061418D"/>
    <w:rsid w:val="006153F7"/>
    <w:rsid w:val="00615640"/>
    <w:rsid w:val="00615D72"/>
    <w:rsid w:val="006163E9"/>
    <w:rsid w:val="00616AC9"/>
    <w:rsid w:val="00616E05"/>
    <w:rsid w:val="00617023"/>
    <w:rsid w:val="00617DC5"/>
    <w:rsid w:val="00621663"/>
    <w:rsid w:val="00622464"/>
    <w:rsid w:val="00622BE8"/>
    <w:rsid w:val="00625BFB"/>
    <w:rsid w:val="00626346"/>
    <w:rsid w:val="006263C7"/>
    <w:rsid w:val="00630475"/>
    <w:rsid w:val="006313A1"/>
    <w:rsid w:val="00631431"/>
    <w:rsid w:val="00632872"/>
    <w:rsid w:val="00633DA2"/>
    <w:rsid w:val="00634F27"/>
    <w:rsid w:val="00636461"/>
    <w:rsid w:val="006368A0"/>
    <w:rsid w:val="00636FD6"/>
    <w:rsid w:val="006377C1"/>
    <w:rsid w:val="0063783A"/>
    <w:rsid w:val="00640D1D"/>
    <w:rsid w:val="0064236D"/>
    <w:rsid w:val="00642DE6"/>
    <w:rsid w:val="00642E78"/>
    <w:rsid w:val="006433D5"/>
    <w:rsid w:val="00644167"/>
    <w:rsid w:val="006443D2"/>
    <w:rsid w:val="006448AD"/>
    <w:rsid w:val="00644F1C"/>
    <w:rsid w:val="00645166"/>
    <w:rsid w:val="00650A00"/>
    <w:rsid w:val="00650FE4"/>
    <w:rsid w:val="006518A0"/>
    <w:rsid w:val="00651AA0"/>
    <w:rsid w:val="006530ED"/>
    <w:rsid w:val="00653AAE"/>
    <w:rsid w:val="006545C8"/>
    <w:rsid w:val="0065557E"/>
    <w:rsid w:val="006559D1"/>
    <w:rsid w:val="006559F8"/>
    <w:rsid w:val="00655DD8"/>
    <w:rsid w:val="00656E4F"/>
    <w:rsid w:val="00657D7D"/>
    <w:rsid w:val="00657DCE"/>
    <w:rsid w:val="00660C99"/>
    <w:rsid w:val="00661215"/>
    <w:rsid w:val="00661A4A"/>
    <w:rsid w:val="006629C4"/>
    <w:rsid w:val="00662C6D"/>
    <w:rsid w:val="006638A7"/>
    <w:rsid w:val="0066428D"/>
    <w:rsid w:val="00664654"/>
    <w:rsid w:val="0066479A"/>
    <w:rsid w:val="006658CB"/>
    <w:rsid w:val="006658F2"/>
    <w:rsid w:val="00665B84"/>
    <w:rsid w:val="006701D1"/>
    <w:rsid w:val="006710E8"/>
    <w:rsid w:val="0067329A"/>
    <w:rsid w:val="00673798"/>
    <w:rsid w:val="006737F3"/>
    <w:rsid w:val="0067399E"/>
    <w:rsid w:val="00674560"/>
    <w:rsid w:val="006758D4"/>
    <w:rsid w:val="00675AF8"/>
    <w:rsid w:val="006775CA"/>
    <w:rsid w:val="00677705"/>
    <w:rsid w:val="00677A06"/>
    <w:rsid w:val="00681F43"/>
    <w:rsid w:val="006827C2"/>
    <w:rsid w:val="0068286C"/>
    <w:rsid w:val="00682E5C"/>
    <w:rsid w:val="0068301C"/>
    <w:rsid w:val="00683CCF"/>
    <w:rsid w:val="00683CEC"/>
    <w:rsid w:val="00686A60"/>
    <w:rsid w:val="00687DFC"/>
    <w:rsid w:val="00690407"/>
    <w:rsid w:val="00690559"/>
    <w:rsid w:val="00690E4C"/>
    <w:rsid w:val="00690F6F"/>
    <w:rsid w:val="00691175"/>
    <w:rsid w:val="00691D04"/>
    <w:rsid w:val="00691E9A"/>
    <w:rsid w:val="00691F51"/>
    <w:rsid w:val="006945D2"/>
    <w:rsid w:val="006959A2"/>
    <w:rsid w:val="00695AF9"/>
    <w:rsid w:val="00696EF3"/>
    <w:rsid w:val="00697548"/>
    <w:rsid w:val="00697A6A"/>
    <w:rsid w:val="006A1A6E"/>
    <w:rsid w:val="006A1AA3"/>
    <w:rsid w:val="006A1CD5"/>
    <w:rsid w:val="006A1EF3"/>
    <w:rsid w:val="006A2335"/>
    <w:rsid w:val="006A24BF"/>
    <w:rsid w:val="006A3040"/>
    <w:rsid w:val="006A4DCA"/>
    <w:rsid w:val="006A5801"/>
    <w:rsid w:val="006A6736"/>
    <w:rsid w:val="006A67B1"/>
    <w:rsid w:val="006A6A6F"/>
    <w:rsid w:val="006A6E9E"/>
    <w:rsid w:val="006B0451"/>
    <w:rsid w:val="006B09B6"/>
    <w:rsid w:val="006B0C30"/>
    <w:rsid w:val="006B0F5E"/>
    <w:rsid w:val="006B1671"/>
    <w:rsid w:val="006B18C8"/>
    <w:rsid w:val="006B1A6C"/>
    <w:rsid w:val="006B2107"/>
    <w:rsid w:val="006B35B9"/>
    <w:rsid w:val="006B3F7D"/>
    <w:rsid w:val="006B4409"/>
    <w:rsid w:val="006B4A43"/>
    <w:rsid w:val="006B4E94"/>
    <w:rsid w:val="006B6284"/>
    <w:rsid w:val="006B68D7"/>
    <w:rsid w:val="006B6D63"/>
    <w:rsid w:val="006C14B3"/>
    <w:rsid w:val="006C15B4"/>
    <w:rsid w:val="006C175C"/>
    <w:rsid w:val="006C2516"/>
    <w:rsid w:val="006C25A3"/>
    <w:rsid w:val="006C3D07"/>
    <w:rsid w:val="006C3D48"/>
    <w:rsid w:val="006C3EB3"/>
    <w:rsid w:val="006C5308"/>
    <w:rsid w:val="006C71D7"/>
    <w:rsid w:val="006D0BAD"/>
    <w:rsid w:val="006D14E6"/>
    <w:rsid w:val="006D43F6"/>
    <w:rsid w:val="006D4E7E"/>
    <w:rsid w:val="006D50E7"/>
    <w:rsid w:val="006D5A71"/>
    <w:rsid w:val="006D6602"/>
    <w:rsid w:val="006D7307"/>
    <w:rsid w:val="006E029E"/>
    <w:rsid w:val="006E1437"/>
    <w:rsid w:val="006E1A38"/>
    <w:rsid w:val="006E24AF"/>
    <w:rsid w:val="006E4065"/>
    <w:rsid w:val="006E44E8"/>
    <w:rsid w:val="006E4C2B"/>
    <w:rsid w:val="006E4C3F"/>
    <w:rsid w:val="006E592B"/>
    <w:rsid w:val="006E6591"/>
    <w:rsid w:val="006E6853"/>
    <w:rsid w:val="006E7F13"/>
    <w:rsid w:val="006F0C26"/>
    <w:rsid w:val="006F17EB"/>
    <w:rsid w:val="006F1B05"/>
    <w:rsid w:val="006F2191"/>
    <w:rsid w:val="006F246A"/>
    <w:rsid w:val="006F2483"/>
    <w:rsid w:val="006F2A22"/>
    <w:rsid w:val="006F336C"/>
    <w:rsid w:val="006F3FB9"/>
    <w:rsid w:val="006F4224"/>
    <w:rsid w:val="006F4306"/>
    <w:rsid w:val="006F481D"/>
    <w:rsid w:val="006F522E"/>
    <w:rsid w:val="006F57FE"/>
    <w:rsid w:val="006F6021"/>
    <w:rsid w:val="006F6167"/>
    <w:rsid w:val="006F633C"/>
    <w:rsid w:val="006F6879"/>
    <w:rsid w:val="006F70AB"/>
    <w:rsid w:val="006F7371"/>
    <w:rsid w:val="007003CF"/>
    <w:rsid w:val="007015C1"/>
    <w:rsid w:val="00701E17"/>
    <w:rsid w:val="00702ABB"/>
    <w:rsid w:val="0070300A"/>
    <w:rsid w:val="007036AA"/>
    <w:rsid w:val="00704262"/>
    <w:rsid w:val="0070460E"/>
    <w:rsid w:val="007057AE"/>
    <w:rsid w:val="007061AE"/>
    <w:rsid w:val="00706B52"/>
    <w:rsid w:val="00707062"/>
    <w:rsid w:val="0070707D"/>
    <w:rsid w:val="00710284"/>
    <w:rsid w:val="007107DD"/>
    <w:rsid w:val="00711159"/>
    <w:rsid w:val="0071188E"/>
    <w:rsid w:val="00712699"/>
    <w:rsid w:val="00712DCC"/>
    <w:rsid w:val="00713D89"/>
    <w:rsid w:val="00713EE9"/>
    <w:rsid w:val="00714846"/>
    <w:rsid w:val="00715A66"/>
    <w:rsid w:val="007166F8"/>
    <w:rsid w:val="00716889"/>
    <w:rsid w:val="00720E5E"/>
    <w:rsid w:val="0072132F"/>
    <w:rsid w:val="007213EE"/>
    <w:rsid w:val="00721E56"/>
    <w:rsid w:val="00721F83"/>
    <w:rsid w:val="007234F1"/>
    <w:rsid w:val="007239EE"/>
    <w:rsid w:val="00724151"/>
    <w:rsid w:val="007244A4"/>
    <w:rsid w:val="00724B8B"/>
    <w:rsid w:val="00724F3C"/>
    <w:rsid w:val="007276A4"/>
    <w:rsid w:val="00727A0A"/>
    <w:rsid w:val="00730127"/>
    <w:rsid w:val="007301F0"/>
    <w:rsid w:val="0073031B"/>
    <w:rsid w:val="00730682"/>
    <w:rsid w:val="00731989"/>
    <w:rsid w:val="00731A8F"/>
    <w:rsid w:val="007326C4"/>
    <w:rsid w:val="00732A4E"/>
    <w:rsid w:val="00732FA7"/>
    <w:rsid w:val="0073328D"/>
    <w:rsid w:val="007333D0"/>
    <w:rsid w:val="007352DD"/>
    <w:rsid w:val="007362D1"/>
    <w:rsid w:val="00737146"/>
    <w:rsid w:val="00737445"/>
    <w:rsid w:val="0073748A"/>
    <w:rsid w:val="007404F9"/>
    <w:rsid w:val="00740950"/>
    <w:rsid w:val="00740A2C"/>
    <w:rsid w:val="007411C0"/>
    <w:rsid w:val="00741A67"/>
    <w:rsid w:val="00742263"/>
    <w:rsid w:val="007423B0"/>
    <w:rsid w:val="00743420"/>
    <w:rsid w:val="00743B3B"/>
    <w:rsid w:val="00745199"/>
    <w:rsid w:val="00745864"/>
    <w:rsid w:val="00745FCD"/>
    <w:rsid w:val="0074697D"/>
    <w:rsid w:val="0075124A"/>
    <w:rsid w:val="007519B7"/>
    <w:rsid w:val="00752D3D"/>
    <w:rsid w:val="0075477F"/>
    <w:rsid w:val="007548B3"/>
    <w:rsid w:val="00754995"/>
    <w:rsid w:val="007551B4"/>
    <w:rsid w:val="007555D1"/>
    <w:rsid w:val="00755BB4"/>
    <w:rsid w:val="00760888"/>
    <w:rsid w:val="007613FD"/>
    <w:rsid w:val="007624BA"/>
    <w:rsid w:val="00762693"/>
    <w:rsid w:val="00763BE6"/>
    <w:rsid w:val="0076472E"/>
    <w:rsid w:val="00765903"/>
    <w:rsid w:val="00766052"/>
    <w:rsid w:val="007663D8"/>
    <w:rsid w:val="00766A1B"/>
    <w:rsid w:val="00766F27"/>
    <w:rsid w:val="00767799"/>
    <w:rsid w:val="00767E8A"/>
    <w:rsid w:val="00773927"/>
    <w:rsid w:val="00775A98"/>
    <w:rsid w:val="00776B0A"/>
    <w:rsid w:val="00776E27"/>
    <w:rsid w:val="0078019E"/>
    <w:rsid w:val="00780431"/>
    <w:rsid w:val="007807D7"/>
    <w:rsid w:val="00781F41"/>
    <w:rsid w:val="0078269F"/>
    <w:rsid w:val="00783BAA"/>
    <w:rsid w:val="00786E30"/>
    <w:rsid w:val="00787C3A"/>
    <w:rsid w:val="007904BB"/>
    <w:rsid w:val="007908D2"/>
    <w:rsid w:val="007926D6"/>
    <w:rsid w:val="00793D70"/>
    <w:rsid w:val="00794469"/>
    <w:rsid w:val="007958BD"/>
    <w:rsid w:val="00797968"/>
    <w:rsid w:val="007A16F2"/>
    <w:rsid w:val="007A1B6F"/>
    <w:rsid w:val="007A2D0E"/>
    <w:rsid w:val="007A2D69"/>
    <w:rsid w:val="007A316B"/>
    <w:rsid w:val="007A3253"/>
    <w:rsid w:val="007A42F3"/>
    <w:rsid w:val="007A4A9C"/>
    <w:rsid w:val="007B0227"/>
    <w:rsid w:val="007B02E7"/>
    <w:rsid w:val="007B037E"/>
    <w:rsid w:val="007B0911"/>
    <w:rsid w:val="007B1E1B"/>
    <w:rsid w:val="007B24C9"/>
    <w:rsid w:val="007B35C5"/>
    <w:rsid w:val="007B3CC5"/>
    <w:rsid w:val="007B4126"/>
    <w:rsid w:val="007B5094"/>
    <w:rsid w:val="007B564B"/>
    <w:rsid w:val="007B597A"/>
    <w:rsid w:val="007B5FF9"/>
    <w:rsid w:val="007B6732"/>
    <w:rsid w:val="007B6D72"/>
    <w:rsid w:val="007B7276"/>
    <w:rsid w:val="007B72AA"/>
    <w:rsid w:val="007C0D16"/>
    <w:rsid w:val="007C0EE4"/>
    <w:rsid w:val="007C163B"/>
    <w:rsid w:val="007C1665"/>
    <w:rsid w:val="007C3677"/>
    <w:rsid w:val="007C3C4C"/>
    <w:rsid w:val="007C5838"/>
    <w:rsid w:val="007C645F"/>
    <w:rsid w:val="007C71BC"/>
    <w:rsid w:val="007C75C7"/>
    <w:rsid w:val="007D0A08"/>
    <w:rsid w:val="007D0AFD"/>
    <w:rsid w:val="007D111B"/>
    <w:rsid w:val="007D220D"/>
    <w:rsid w:val="007D3E2B"/>
    <w:rsid w:val="007D4AB2"/>
    <w:rsid w:val="007D4CFF"/>
    <w:rsid w:val="007D4F9B"/>
    <w:rsid w:val="007D69ED"/>
    <w:rsid w:val="007E195B"/>
    <w:rsid w:val="007E2BBD"/>
    <w:rsid w:val="007E3DBC"/>
    <w:rsid w:val="007E41B2"/>
    <w:rsid w:val="007E4A9D"/>
    <w:rsid w:val="007E515C"/>
    <w:rsid w:val="007E53EB"/>
    <w:rsid w:val="007E57B7"/>
    <w:rsid w:val="007E65E6"/>
    <w:rsid w:val="007E71FA"/>
    <w:rsid w:val="007E745A"/>
    <w:rsid w:val="007E757B"/>
    <w:rsid w:val="007E7FAB"/>
    <w:rsid w:val="007F12EE"/>
    <w:rsid w:val="007F1CEE"/>
    <w:rsid w:val="007F280D"/>
    <w:rsid w:val="007F2ABB"/>
    <w:rsid w:val="007F2B15"/>
    <w:rsid w:val="007F2BFC"/>
    <w:rsid w:val="007F31ED"/>
    <w:rsid w:val="007F4140"/>
    <w:rsid w:val="007F4FFE"/>
    <w:rsid w:val="007F53EB"/>
    <w:rsid w:val="007F5E55"/>
    <w:rsid w:val="008033F7"/>
    <w:rsid w:val="0080387B"/>
    <w:rsid w:val="00804473"/>
    <w:rsid w:val="0080538F"/>
    <w:rsid w:val="00805740"/>
    <w:rsid w:val="00806065"/>
    <w:rsid w:val="00806072"/>
    <w:rsid w:val="0080695C"/>
    <w:rsid w:val="00807DAD"/>
    <w:rsid w:val="00810457"/>
    <w:rsid w:val="008106A4"/>
    <w:rsid w:val="00810A0C"/>
    <w:rsid w:val="00810BE6"/>
    <w:rsid w:val="00810DA7"/>
    <w:rsid w:val="0081144A"/>
    <w:rsid w:val="0081210E"/>
    <w:rsid w:val="00812E67"/>
    <w:rsid w:val="00813AB6"/>
    <w:rsid w:val="0081412A"/>
    <w:rsid w:val="008147C1"/>
    <w:rsid w:val="00814BF8"/>
    <w:rsid w:val="0081563B"/>
    <w:rsid w:val="00815A7B"/>
    <w:rsid w:val="0081653E"/>
    <w:rsid w:val="008165EF"/>
    <w:rsid w:val="0082120A"/>
    <w:rsid w:val="0082122C"/>
    <w:rsid w:val="00821BFD"/>
    <w:rsid w:val="008226DC"/>
    <w:rsid w:val="00822B79"/>
    <w:rsid w:val="00825573"/>
    <w:rsid w:val="00825E7F"/>
    <w:rsid w:val="008267A0"/>
    <w:rsid w:val="0082703F"/>
    <w:rsid w:val="00827831"/>
    <w:rsid w:val="00832715"/>
    <w:rsid w:val="00833367"/>
    <w:rsid w:val="008343D9"/>
    <w:rsid w:val="00834B34"/>
    <w:rsid w:val="00835C62"/>
    <w:rsid w:val="00835DDF"/>
    <w:rsid w:val="00836880"/>
    <w:rsid w:val="008372FE"/>
    <w:rsid w:val="00841094"/>
    <w:rsid w:val="00841BAC"/>
    <w:rsid w:val="00842DAC"/>
    <w:rsid w:val="00843ED7"/>
    <w:rsid w:val="0084440B"/>
    <w:rsid w:val="00845620"/>
    <w:rsid w:val="00846D44"/>
    <w:rsid w:val="0084762A"/>
    <w:rsid w:val="0084777F"/>
    <w:rsid w:val="008477D0"/>
    <w:rsid w:val="00847F00"/>
    <w:rsid w:val="00850DED"/>
    <w:rsid w:val="00850E60"/>
    <w:rsid w:val="008510C5"/>
    <w:rsid w:val="00851984"/>
    <w:rsid w:val="008536B9"/>
    <w:rsid w:val="00854757"/>
    <w:rsid w:val="00854F1C"/>
    <w:rsid w:val="00855692"/>
    <w:rsid w:val="00855A99"/>
    <w:rsid w:val="00856C5B"/>
    <w:rsid w:val="00857B02"/>
    <w:rsid w:val="00857E15"/>
    <w:rsid w:val="00857F92"/>
    <w:rsid w:val="00860DDF"/>
    <w:rsid w:val="0086230D"/>
    <w:rsid w:val="0086320A"/>
    <w:rsid w:val="00865189"/>
    <w:rsid w:val="008657F5"/>
    <w:rsid w:val="00865A55"/>
    <w:rsid w:val="00866F08"/>
    <w:rsid w:val="00867140"/>
    <w:rsid w:val="00867BB8"/>
    <w:rsid w:val="0087003B"/>
    <w:rsid w:val="008706F6"/>
    <w:rsid w:val="00871EF4"/>
    <w:rsid w:val="00873360"/>
    <w:rsid w:val="00873B92"/>
    <w:rsid w:val="00873CDF"/>
    <w:rsid w:val="00874167"/>
    <w:rsid w:val="0087638A"/>
    <w:rsid w:val="0087699E"/>
    <w:rsid w:val="008832C9"/>
    <w:rsid w:val="00884B95"/>
    <w:rsid w:val="00885980"/>
    <w:rsid w:val="008869F8"/>
    <w:rsid w:val="00887031"/>
    <w:rsid w:val="0088715D"/>
    <w:rsid w:val="00891114"/>
    <w:rsid w:val="00891A70"/>
    <w:rsid w:val="00892030"/>
    <w:rsid w:val="0089214C"/>
    <w:rsid w:val="00892496"/>
    <w:rsid w:val="0089257D"/>
    <w:rsid w:val="0089283F"/>
    <w:rsid w:val="00896BE6"/>
    <w:rsid w:val="00896FB5"/>
    <w:rsid w:val="008A08D9"/>
    <w:rsid w:val="008A0BC2"/>
    <w:rsid w:val="008A0C07"/>
    <w:rsid w:val="008A0FE9"/>
    <w:rsid w:val="008A102B"/>
    <w:rsid w:val="008A14C0"/>
    <w:rsid w:val="008A1C39"/>
    <w:rsid w:val="008A1E4A"/>
    <w:rsid w:val="008A4842"/>
    <w:rsid w:val="008A4F2B"/>
    <w:rsid w:val="008A7CD7"/>
    <w:rsid w:val="008B24E7"/>
    <w:rsid w:val="008B2FCD"/>
    <w:rsid w:val="008B3064"/>
    <w:rsid w:val="008B37DF"/>
    <w:rsid w:val="008B679C"/>
    <w:rsid w:val="008B6C7B"/>
    <w:rsid w:val="008B6E36"/>
    <w:rsid w:val="008B7F4C"/>
    <w:rsid w:val="008C0F5B"/>
    <w:rsid w:val="008C1F4D"/>
    <w:rsid w:val="008C20C4"/>
    <w:rsid w:val="008C2186"/>
    <w:rsid w:val="008C21FB"/>
    <w:rsid w:val="008C3F7E"/>
    <w:rsid w:val="008C5666"/>
    <w:rsid w:val="008C752B"/>
    <w:rsid w:val="008C7BFF"/>
    <w:rsid w:val="008D0B29"/>
    <w:rsid w:val="008D106D"/>
    <w:rsid w:val="008D2908"/>
    <w:rsid w:val="008D2E75"/>
    <w:rsid w:val="008D31D5"/>
    <w:rsid w:val="008D4947"/>
    <w:rsid w:val="008D4D2B"/>
    <w:rsid w:val="008D5376"/>
    <w:rsid w:val="008D53EC"/>
    <w:rsid w:val="008D5870"/>
    <w:rsid w:val="008D70F5"/>
    <w:rsid w:val="008D788B"/>
    <w:rsid w:val="008E1B3B"/>
    <w:rsid w:val="008E27BC"/>
    <w:rsid w:val="008E2911"/>
    <w:rsid w:val="008E2E18"/>
    <w:rsid w:val="008E31C9"/>
    <w:rsid w:val="008E31F1"/>
    <w:rsid w:val="008E329A"/>
    <w:rsid w:val="008E4B69"/>
    <w:rsid w:val="008E5180"/>
    <w:rsid w:val="008E73B9"/>
    <w:rsid w:val="008E73DB"/>
    <w:rsid w:val="008F03C6"/>
    <w:rsid w:val="008F13CB"/>
    <w:rsid w:val="008F1877"/>
    <w:rsid w:val="008F2996"/>
    <w:rsid w:val="008F2A66"/>
    <w:rsid w:val="008F2CAC"/>
    <w:rsid w:val="008F3068"/>
    <w:rsid w:val="008F32E2"/>
    <w:rsid w:val="008F356F"/>
    <w:rsid w:val="008F4F33"/>
    <w:rsid w:val="008F53A2"/>
    <w:rsid w:val="008F608B"/>
    <w:rsid w:val="008F6583"/>
    <w:rsid w:val="008F6728"/>
    <w:rsid w:val="00901F78"/>
    <w:rsid w:val="00904776"/>
    <w:rsid w:val="00905015"/>
    <w:rsid w:val="00905EF5"/>
    <w:rsid w:val="00907DBA"/>
    <w:rsid w:val="009114B8"/>
    <w:rsid w:val="00911B25"/>
    <w:rsid w:val="0091361C"/>
    <w:rsid w:val="0091367E"/>
    <w:rsid w:val="00914A54"/>
    <w:rsid w:val="00914C64"/>
    <w:rsid w:val="0091557F"/>
    <w:rsid w:val="0091560A"/>
    <w:rsid w:val="009156C0"/>
    <w:rsid w:val="00915918"/>
    <w:rsid w:val="00916822"/>
    <w:rsid w:val="00916D1F"/>
    <w:rsid w:val="00917C07"/>
    <w:rsid w:val="00922435"/>
    <w:rsid w:val="009235B6"/>
    <w:rsid w:val="00924D44"/>
    <w:rsid w:val="009253F0"/>
    <w:rsid w:val="0092560F"/>
    <w:rsid w:val="009256D0"/>
    <w:rsid w:val="00925E88"/>
    <w:rsid w:val="0093008F"/>
    <w:rsid w:val="00931197"/>
    <w:rsid w:val="0093136B"/>
    <w:rsid w:val="0093242B"/>
    <w:rsid w:val="00932601"/>
    <w:rsid w:val="00933205"/>
    <w:rsid w:val="009336CB"/>
    <w:rsid w:val="00933DAB"/>
    <w:rsid w:val="00934285"/>
    <w:rsid w:val="009342FF"/>
    <w:rsid w:val="00934743"/>
    <w:rsid w:val="00934CEF"/>
    <w:rsid w:val="00934F97"/>
    <w:rsid w:val="00936967"/>
    <w:rsid w:val="0093740F"/>
    <w:rsid w:val="00937DFC"/>
    <w:rsid w:val="00940458"/>
    <w:rsid w:val="0094117D"/>
    <w:rsid w:val="00941DF6"/>
    <w:rsid w:val="009426B5"/>
    <w:rsid w:val="00943AFB"/>
    <w:rsid w:val="009442AE"/>
    <w:rsid w:val="0094492B"/>
    <w:rsid w:val="00944F8C"/>
    <w:rsid w:val="00945E1C"/>
    <w:rsid w:val="009475D3"/>
    <w:rsid w:val="009517C5"/>
    <w:rsid w:val="00951AB3"/>
    <w:rsid w:val="00953094"/>
    <w:rsid w:val="00957312"/>
    <w:rsid w:val="009577B8"/>
    <w:rsid w:val="00957E74"/>
    <w:rsid w:val="00960E22"/>
    <w:rsid w:val="00961002"/>
    <w:rsid w:val="00962A9C"/>
    <w:rsid w:val="0096577D"/>
    <w:rsid w:val="00966FC7"/>
    <w:rsid w:val="00967358"/>
    <w:rsid w:val="009676F1"/>
    <w:rsid w:val="00970945"/>
    <w:rsid w:val="009714E0"/>
    <w:rsid w:val="00971A40"/>
    <w:rsid w:val="009727EA"/>
    <w:rsid w:val="00975268"/>
    <w:rsid w:val="0097567C"/>
    <w:rsid w:val="00975BA0"/>
    <w:rsid w:val="0097696C"/>
    <w:rsid w:val="00980658"/>
    <w:rsid w:val="0098290A"/>
    <w:rsid w:val="00984C7A"/>
    <w:rsid w:val="00985F8D"/>
    <w:rsid w:val="009863D3"/>
    <w:rsid w:val="009865DF"/>
    <w:rsid w:val="00987089"/>
    <w:rsid w:val="00987661"/>
    <w:rsid w:val="009878CB"/>
    <w:rsid w:val="0099006D"/>
    <w:rsid w:val="009914C2"/>
    <w:rsid w:val="009924D3"/>
    <w:rsid w:val="00992AF3"/>
    <w:rsid w:val="00993B96"/>
    <w:rsid w:val="00993CFE"/>
    <w:rsid w:val="009940C0"/>
    <w:rsid w:val="00994D71"/>
    <w:rsid w:val="009950C9"/>
    <w:rsid w:val="00995B9C"/>
    <w:rsid w:val="00996466"/>
    <w:rsid w:val="0099663E"/>
    <w:rsid w:val="009974CE"/>
    <w:rsid w:val="00997E98"/>
    <w:rsid w:val="00997EAB"/>
    <w:rsid w:val="009A00FF"/>
    <w:rsid w:val="009A057A"/>
    <w:rsid w:val="009A0734"/>
    <w:rsid w:val="009A0C6C"/>
    <w:rsid w:val="009A22D8"/>
    <w:rsid w:val="009A29E8"/>
    <w:rsid w:val="009A367C"/>
    <w:rsid w:val="009A3A7F"/>
    <w:rsid w:val="009A4D90"/>
    <w:rsid w:val="009A595C"/>
    <w:rsid w:val="009A5B3D"/>
    <w:rsid w:val="009A69AA"/>
    <w:rsid w:val="009B08F5"/>
    <w:rsid w:val="009B15EF"/>
    <w:rsid w:val="009B19F8"/>
    <w:rsid w:val="009B3AB7"/>
    <w:rsid w:val="009B3CC2"/>
    <w:rsid w:val="009B508D"/>
    <w:rsid w:val="009B5F9F"/>
    <w:rsid w:val="009B6022"/>
    <w:rsid w:val="009B620F"/>
    <w:rsid w:val="009C1571"/>
    <w:rsid w:val="009C1CE0"/>
    <w:rsid w:val="009C2826"/>
    <w:rsid w:val="009C3E39"/>
    <w:rsid w:val="009C4C84"/>
    <w:rsid w:val="009C627F"/>
    <w:rsid w:val="009C66CE"/>
    <w:rsid w:val="009C68E5"/>
    <w:rsid w:val="009C7947"/>
    <w:rsid w:val="009C7BDA"/>
    <w:rsid w:val="009C7D0E"/>
    <w:rsid w:val="009C7E6E"/>
    <w:rsid w:val="009D0576"/>
    <w:rsid w:val="009D126E"/>
    <w:rsid w:val="009D32E8"/>
    <w:rsid w:val="009D43F5"/>
    <w:rsid w:val="009D471C"/>
    <w:rsid w:val="009D4F8C"/>
    <w:rsid w:val="009D7DB5"/>
    <w:rsid w:val="009E04FE"/>
    <w:rsid w:val="009E0C19"/>
    <w:rsid w:val="009E0D03"/>
    <w:rsid w:val="009E124A"/>
    <w:rsid w:val="009E1586"/>
    <w:rsid w:val="009E3262"/>
    <w:rsid w:val="009E3544"/>
    <w:rsid w:val="009E4EDC"/>
    <w:rsid w:val="009E6064"/>
    <w:rsid w:val="009E763F"/>
    <w:rsid w:val="009F0A9B"/>
    <w:rsid w:val="009F2412"/>
    <w:rsid w:val="009F3588"/>
    <w:rsid w:val="009F390C"/>
    <w:rsid w:val="009F3DB3"/>
    <w:rsid w:val="009F437A"/>
    <w:rsid w:val="009F45E7"/>
    <w:rsid w:val="009F58D5"/>
    <w:rsid w:val="00A0088B"/>
    <w:rsid w:val="00A00A29"/>
    <w:rsid w:val="00A00EE0"/>
    <w:rsid w:val="00A010F0"/>
    <w:rsid w:val="00A0159C"/>
    <w:rsid w:val="00A01CFF"/>
    <w:rsid w:val="00A01D4A"/>
    <w:rsid w:val="00A03541"/>
    <w:rsid w:val="00A037B9"/>
    <w:rsid w:val="00A039B5"/>
    <w:rsid w:val="00A03AAA"/>
    <w:rsid w:val="00A04048"/>
    <w:rsid w:val="00A04167"/>
    <w:rsid w:val="00A043A2"/>
    <w:rsid w:val="00A04CD4"/>
    <w:rsid w:val="00A10C43"/>
    <w:rsid w:val="00A11576"/>
    <w:rsid w:val="00A12F71"/>
    <w:rsid w:val="00A1441A"/>
    <w:rsid w:val="00A16678"/>
    <w:rsid w:val="00A16782"/>
    <w:rsid w:val="00A174E1"/>
    <w:rsid w:val="00A17C27"/>
    <w:rsid w:val="00A17EC7"/>
    <w:rsid w:val="00A20A3D"/>
    <w:rsid w:val="00A20B13"/>
    <w:rsid w:val="00A210D5"/>
    <w:rsid w:val="00A2124E"/>
    <w:rsid w:val="00A2198E"/>
    <w:rsid w:val="00A22259"/>
    <w:rsid w:val="00A239BA"/>
    <w:rsid w:val="00A23F34"/>
    <w:rsid w:val="00A25753"/>
    <w:rsid w:val="00A269F6"/>
    <w:rsid w:val="00A26B34"/>
    <w:rsid w:val="00A26EDE"/>
    <w:rsid w:val="00A271A6"/>
    <w:rsid w:val="00A2729C"/>
    <w:rsid w:val="00A274B5"/>
    <w:rsid w:val="00A310C1"/>
    <w:rsid w:val="00A31991"/>
    <w:rsid w:val="00A32180"/>
    <w:rsid w:val="00A32D4E"/>
    <w:rsid w:val="00A33128"/>
    <w:rsid w:val="00A33264"/>
    <w:rsid w:val="00A33703"/>
    <w:rsid w:val="00A33C75"/>
    <w:rsid w:val="00A33F06"/>
    <w:rsid w:val="00A34599"/>
    <w:rsid w:val="00A36350"/>
    <w:rsid w:val="00A36AC4"/>
    <w:rsid w:val="00A37692"/>
    <w:rsid w:val="00A40D4C"/>
    <w:rsid w:val="00A4200F"/>
    <w:rsid w:val="00A4357C"/>
    <w:rsid w:val="00A43C10"/>
    <w:rsid w:val="00A447EC"/>
    <w:rsid w:val="00A44D20"/>
    <w:rsid w:val="00A44FB2"/>
    <w:rsid w:val="00A45038"/>
    <w:rsid w:val="00A4506E"/>
    <w:rsid w:val="00A4507C"/>
    <w:rsid w:val="00A46DE3"/>
    <w:rsid w:val="00A47189"/>
    <w:rsid w:val="00A47D8F"/>
    <w:rsid w:val="00A501BA"/>
    <w:rsid w:val="00A50B58"/>
    <w:rsid w:val="00A51251"/>
    <w:rsid w:val="00A52073"/>
    <w:rsid w:val="00A52081"/>
    <w:rsid w:val="00A52CAD"/>
    <w:rsid w:val="00A537E8"/>
    <w:rsid w:val="00A53FA9"/>
    <w:rsid w:val="00A54F32"/>
    <w:rsid w:val="00A55469"/>
    <w:rsid w:val="00A55CC4"/>
    <w:rsid w:val="00A574C6"/>
    <w:rsid w:val="00A575C1"/>
    <w:rsid w:val="00A60551"/>
    <w:rsid w:val="00A605F6"/>
    <w:rsid w:val="00A61AF2"/>
    <w:rsid w:val="00A630CB"/>
    <w:rsid w:val="00A63E71"/>
    <w:rsid w:val="00A658E2"/>
    <w:rsid w:val="00A65BC3"/>
    <w:rsid w:val="00A668C6"/>
    <w:rsid w:val="00A678DC"/>
    <w:rsid w:val="00A71222"/>
    <w:rsid w:val="00A71981"/>
    <w:rsid w:val="00A723CD"/>
    <w:rsid w:val="00A72E88"/>
    <w:rsid w:val="00A74E77"/>
    <w:rsid w:val="00A74ED1"/>
    <w:rsid w:val="00A7535E"/>
    <w:rsid w:val="00A75C43"/>
    <w:rsid w:val="00A763A7"/>
    <w:rsid w:val="00A767BC"/>
    <w:rsid w:val="00A76A2B"/>
    <w:rsid w:val="00A77235"/>
    <w:rsid w:val="00A80A93"/>
    <w:rsid w:val="00A80AA9"/>
    <w:rsid w:val="00A8274A"/>
    <w:rsid w:val="00A84BB8"/>
    <w:rsid w:val="00A84C72"/>
    <w:rsid w:val="00A85EBB"/>
    <w:rsid w:val="00A87F14"/>
    <w:rsid w:val="00A90668"/>
    <w:rsid w:val="00A90F61"/>
    <w:rsid w:val="00A91072"/>
    <w:rsid w:val="00A911A3"/>
    <w:rsid w:val="00A91268"/>
    <w:rsid w:val="00A924A3"/>
    <w:rsid w:val="00A92923"/>
    <w:rsid w:val="00A9309F"/>
    <w:rsid w:val="00A953B5"/>
    <w:rsid w:val="00A95C73"/>
    <w:rsid w:val="00A96135"/>
    <w:rsid w:val="00A962D0"/>
    <w:rsid w:val="00A962D6"/>
    <w:rsid w:val="00A96BD8"/>
    <w:rsid w:val="00A96E64"/>
    <w:rsid w:val="00A974D1"/>
    <w:rsid w:val="00AA07A2"/>
    <w:rsid w:val="00AA0FCD"/>
    <w:rsid w:val="00AA1D78"/>
    <w:rsid w:val="00AA1F0B"/>
    <w:rsid w:val="00AA2215"/>
    <w:rsid w:val="00AA3BBB"/>
    <w:rsid w:val="00AA4E74"/>
    <w:rsid w:val="00AA5DD9"/>
    <w:rsid w:val="00AA6137"/>
    <w:rsid w:val="00AA6A10"/>
    <w:rsid w:val="00AA7FB4"/>
    <w:rsid w:val="00AB034B"/>
    <w:rsid w:val="00AB07D6"/>
    <w:rsid w:val="00AB11BC"/>
    <w:rsid w:val="00AB2962"/>
    <w:rsid w:val="00AB4A25"/>
    <w:rsid w:val="00AB4B8E"/>
    <w:rsid w:val="00AB5074"/>
    <w:rsid w:val="00AB5B01"/>
    <w:rsid w:val="00AB62F0"/>
    <w:rsid w:val="00AC0504"/>
    <w:rsid w:val="00AC0566"/>
    <w:rsid w:val="00AC0CB2"/>
    <w:rsid w:val="00AC0DAD"/>
    <w:rsid w:val="00AC0EEF"/>
    <w:rsid w:val="00AC184E"/>
    <w:rsid w:val="00AC2FFE"/>
    <w:rsid w:val="00AC34AB"/>
    <w:rsid w:val="00AC49E5"/>
    <w:rsid w:val="00AC4FC2"/>
    <w:rsid w:val="00AC5953"/>
    <w:rsid w:val="00AD20C5"/>
    <w:rsid w:val="00AD2697"/>
    <w:rsid w:val="00AD30B9"/>
    <w:rsid w:val="00AD4297"/>
    <w:rsid w:val="00AD44AA"/>
    <w:rsid w:val="00AD4C90"/>
    <w:rsid w:val="00AD5084"/>
    <w:rsid w:val="00AD522F"/>
    <w:rsid w:val="00AD53EE"/>
    <w:rsid w:val="00AD60A3"/>
    <w:rsid w:val="00AE0519"/>
    <w:rsid w:val="00AE0772"/>
    <w:rsid w:val="00AE18AD"/>
    <w:rsid w:val="00AE2226"/>
    <w:rsid w:val="00AE2A98"/>
    <w:rsid w:val="00AE4175"/>
    <w:rsid w:val="00AE4B8E"/>
    <w:rsid w:val="00AE5E40"/>
    <w:rsid w:val="00AE5F8C"/>
    <w:rsid w:val="00AE6616"/>
    <w:rsid w:val="00AE663F"/>
    <w:rsid w:val="00AE79D0"/>
    <w:rsid w:val="00AF02D9"/>
    <w:rsid w:val="00AF10A8"/>
    <w:rsid w:val="00AF1D97"/>
    <w:rsid w:val="00AF29D9"/>
    <w:rsid w:val="00AF42F1"/>
    <w:rsid w:val="00AF53FB"/>
    <w:rsid w:val="00AF673E"/>
    <w:rsid w:val="00B00B31"/>
    <w:rsid w:val="00B02501"/>
    <w:rsid w:val="00B02A63"/>
    <w:rsid w:val="00B03A92"/>
    <w:rsid w:val="00B04618"/>
    <w:rsid w:val="00B04B2C"/>
    <w:rsid w:val="00B0509B"/>
    <w:rsid w:val="00B056FE"/>
    <w:rsid w:val="00B06B52"/>
    <w:rsid w:val="00B07264"/>
    <w:rsid w:val="00B07E6E"/>
    <w:rsid w:val="00B10E02"/>
    <w:rsid w:val="00B11E79"/>
    <w:rsid w:val="00B1231A"/>
    <w:rsid w:val="00B124AB"/>
    <w:rsid w:val="00B13D52"/>
    <w:rsid w:val="00B153BA"/>
    <w:rsid w:val="00B1674A"/>
    <w:rsid w:val="00B174D0"/>
    <w:rsid w:val="00B1754C"/>
    <w:rsid w:val="00B202D4"/>
    <w:rsid w:val="00B204C7"/>
    <w:rsid w:val="00B20649"/>
    <w:rsid w:val="00B20EFD"/>
    <w:rsid w:val="00B21932"/>
    <w:rsid w:val="00B2281C"/>
    <w:rsid w:val="00B24606"/>
    <w:rsid w:val="00B24F68"/>
    <w:rsid w:val="00B25241"/>
    <w:rsid w:val="00B27D7B"/>
    <w:rsid w:val="00B30064"/>
    <w:rsid w:val="00B30264"/>
    <w:rsid w:val="00B30EA3"/>
    <w:rsid w:val="00B32CA4"/>
    <w:rsid w:val="00B32D33"/>
    <w:rsid w:val="00B330F2"/>
    <w:rsid w:val="00B3347F"/>
    <w:rsid w:val="00B335D2"/>
    <w:rsid w:val="00B33EA5"/>
    <w:rsid w:val="00B35D50"/>
    <w:rsid w:val="00B36857"/>
    <w:rsid w:val="00B37FD7"/>
    <w:rsid w:val="00B401C0"/>
    <w:rsid w:val="00B406FB"/>
    <w:rsid w:val="00B435DA"/>
    <w:rsid w:val="00B4436A"/>
    <w:rsid w:val="00B449E7"/>
    <w:rsid w:val="00B4539D"/>
    <w:rsid w:val="00B45B1A"/>
    <w:rsid w:val="00B46C09"/>
    <w:rsid w:val="00B470ED"/>
    <w:rsid w:val="00B471DE"/>
    <w:rsid w:val="00B47291"/>
    <w:rsid w:val="00B473DF"/>
    <w:rsid w:val="00B47617"/>
    <w:rsid w:val="00B478C4"/>
    <w:rsid w:val="00B47ABF"/>
    <w:rsid w:val="00B502DC"/>
    <w:rsid w:val="00B50647"/>
    <w:rsid w:val="00B5082F"/>
    <w:rsid w:val="00B51BBB"/>
    <w:rsid w:val="00B5268F"/>
    <w:rsid w:val="00B52804"/>
    <w:rsid w:val="00B52E3C"/>
    <w:rsid w:val="00B53793"/>
    <w:rsid w:val="00B60C92"/>
    <w:rsid w:val="00B60DE3"/>
    <w:rsid w:val="00B61272"/>
    <w:rsid w:val="00B62F15"/>
    <w:rsid w:val="00B634FD"/>
    <w:rsid w:val="00B63989"/>
    <w:rsid w:val="00B64A4A"/>
    <w:rsid w:val="00B65348"/>
    <w:rsid w:val="00B65DD5"/>
    <w:rsid w:val="00B70057"/>
    <w:rsid w:val="00B716E3"/>
    <w:rsid w:val="00B71700"/>
    <w:rsid w:val="00B72105"/>
    <w:rsid w:val="00B72A9C"/>
    <w:rsid w:val="00B7356F"/>
    <w:rsid w:val="00B76202"/>
    <w:rsid w:val="00B764F1"/>
    <w:rsid w:val="00B76CD2"/>
    <w:rsid w:val="00B77916"/>
    <w:rsid w:val="00B8029F"/>
    <w:rsid w:val="00B81281"/>
    <w:rsid w:val="00B82F90"/>
    <w:rsid w:val="00B83632"/>
    <w:rsid w:val="00B85D6D"/>
    <w:rsid w:val="00B85ECF"/>
    <w:rsid w:val="00B86104"/>
    <w:rsid w:val="00B90840"/>
    <w:rsid w:val="00B90932"/>
    <w:rsid w:val="00B92F4C"/>
    <w:rsid w:val="00B931FC"/>
    <w:rsid w:val="00B95844"/>
    <w:rsid w:val="00B958C1"/>
    <w:rsid w:val="00B95DBC"/>
    <w:rsid w:val="00B95FC9"/>
    <w:rsid w:val="00B9649D"/>
    <w:rsid w:val="00B96E5E"/>
    <w:rsid w:val="00BA04D0"/>
    <w:rsid w:val="00BA15E6"/>
    <w:rsid w:val="00BA1A9D"/>
    <w:rsid w:val="00BA1AF0"/>
    <w:rsid w:val="00BA1F6C"/>
    <w:rsid w:val="00BA2618"/>
    <w:rsid w:val="00BA5DFC"/>
    <w:rsid w:val="00BA67D8"/>
    <w:rsid w:val="00BA7449"/>
    <w:rsid w:val="00BB0274"/>
    <w:rsid w:val="00BB0D3C"/>
    <w:rsid w:val="00BB12D3"/>
    <w:rsid w:val="00BB12FA"/>
    <w:rsid w:val="00BB242E"/>
    <w:rsid w:val="00BB249C"/>
    <w:rsid w:val="00BB375C"/>
    <w:rsid w:val="00BB38BF"/>
    <w:rsid w:val="00BB467E"/>
    <w:rsid w:val="00BB5096"/>
    <w:rsid w:val="00BB6321"/>
    <w:rsid w:val="00BB68C5"/>
    <w:rsid w:val="00BB6DFE"/>
    <w:rsid w:val="00BB78CF"/>
    <w:rsid w:val="00BB7D0A"/>
    <w:rsid w:val="00BC0014"/>
    <w:rsid w:val="00BC0AF6"/>
    <w:rsid w:val="00BC11FF"/>
    <w:rsid w:val="00BC1E21"/>
    <w:rsid w:val="00BC2283"/>
    <w:rsid w:val="00BC2C81"/>
    <w:rsid w:val="00BC3258"/>
    <w:rsid w:val="00BC35F1"/>
    <w:rsid w:val="00BC3B16"/>
    <w:rsid w:val="00BC3F5A"/>
    <w:rsid w:val="00BC4E72"/>
    <w:rsid w:val="00BC5865"/>
    <w:rsid w:val="00BC5A86"/>
    <w:rsid w:val="00BC5C8D"/>
    <w:rsid w:val="00BC6A0D"/>
    <w:rsid w:val="00BC7513"/>
    <w:rsid w:val="00BC7A7B"/>
    <w:rsid w:val="00BD05B8"/>
    <w:rsid w:val="00BD09D2"/>
    <w:rsid w:val="00BD09EE"/>
    <w:rsid w:val="00BD0F4A"/>
    <w:rsid w:val="00BD11F0"/>
    <w:rsid w:val="00BD13E0"/>
    <w:rsid w:val="00BD1A38"/>
    <w:rsid w:val="00BD21D0"/>
    <w:rsid w:val="00BD2A0E"/>
    <w:rsid w:val="00BD2A70"/>
    <w:rsid w:val="00BD30E2"/>
    <w:rsid w:val="00BD3368"/>
    <w:rsid w:val="00BD668B"/>
    <w:rsid w:val="00BE049E"/>
    <w:rsid w:val="00BE0721"/>
    <w:rsid w:val="00BE0749"/>
    <w:rsid w:val="00BE0A18"/>
    <w:rsid w:val="00BE10C0"/>
    <w:rsid w:val="00BE1F85"/>
    <w:rsid w:val="00BE299E"/>
    <w:rsid w:val="00BE2A4B"/>
    <w:rsid w:val="00BE2F25"/>
    <w:rsid w:val="00BE3381"/>
    <w:rsid w:val="00BE33BF"/>
    <w:rsid w:val="00BE3BDA"/>
    <w:rsid w:val="00BE508F"/>
    <w:rsid w:val="00BE7ADF"/>
    <w:rsid w:val="00BF00BF"/>
    <w:rsid w:val="00BF0208"/>
    <w:rsid w:val="00BF0339"/>
    <w:rsid w:val="00BF0390"/>
    <w:rsid w:val="00BF20D5"/>
    <w:rsid w:val="00BF2A94"/>
    <w:rsid w:val="00BF3413"/>
    <w:rsid w:val="00BF3A18"/>
    <w:rsid w:val="00BF422A"/>
    <w:rsid w:val="00BF5703"/>
    <w:rsid w:val="00BF5908"/>
    <w:rsid w:val="00BF59EA"/>
    <w:rsid w:val="00BF74DD"/>
    <w:rsid w:val="00C004BA"/>
    <w:rsid w:val="00C01E90"/>
    <w:rsid w:val="00C02B50"/>
    <w:rsid w:val="00C02B98"/>
    <w:rsid w:val="00C03DE3"/>
    <w:rsid w:val="00C041CD"/>
    <w:rsid w:val="00C04B6B"/>
    <w:rsid w:val="00C04E2D"/>
    <w:rsid w:val="00C06B96"/>
    <w:rsid w:val="00C11F7A"/>
    <w:rsid w:val="00C12670"/>
    <w:rsid w:val="00C13221"/>
    <w:rsid w:val="00C15800"/>
    <w:rsid w:val="00C160B1"/>
    <w:rsid w:val="00C16F7D"/>
    <w:rsid w:val="00C20259"/>
    <w:rsid w:val="00C21BDF"/>
    <w:rsid w:val="00C23D9A"/>
    <w:rsid w:val="00C259D4"/>
    <w:rsid w:val="00C260C7"/>
    <w:rsid w:val="00C2643F"/>
    <w:rsid w:val="00C267FD"/>
    <w:rsid w:val="00C278A4"/>
    <w:rsid w:val="00C27946"/>
    <w:rsid w:val="00C3139D"/>
    <w:rsid w:val="00C32ED7"/>
    <w:rsid w:val="00C33332"/>
    <w:rsid w:val="00C33A59"/>
    <w:rsid w:val="00C343C5"/>
    <w:rsid w:val="00C34FBB"/>
    <w:rsid w:val="00C34FE4"/>
    <w:rsid w:val="00C41DA1"/>
    <w:rsid w:val="00C42B27"/>
    <w:rsid w:val="00C43290"/>
    <w:rsid w:val="00C449DA"/>
    <w:rsid w:val="00C44FE6"/>
    <w:rsid w:val="00C479D0"/>
    <w:rsid w:val="00C50B44"/>
    <w:rsid w:val="00C514F6"/>
    <w:rsid w:val="00C51D22"/>
    <w:rsid w:val="00C5203F"/>
    <w:rsid w:val="00C52982"/>
    <w:rsid w:val="00C52BF7"/>
    <w:rsid w:val="00C548F7"/>
    <w:rsid w:val="00C554F1"/>
    <w:rsid w:val="00C563E6"/>
    <w:rsid w:val="00C57836"/>
    <w:rsid w:val="00C60355"/>
    <w:rsid w:val="00C61651"/>
    <w:rsid w:val="00C61CBA"/>
    <w:rsid w:val="00C62442"/>
    <w:rsid w:val="00C63663"/>
    <w:rsid w:val="00C63942"/>
    <w:rsid w:val="00C64C81"/>
    <w:rsid w:val="00C6541A"/>
    <w:rsid w:val="00C65B17"/>
    <w:rsid w:val="00C66146"/>
    <w:rsid w:val="00C662D3"/>
    <w:rsid w:val="00C6633E"/>
    <w:rsid w:val="00C66C57"/>
    <w:rsid w:val="00C66DE7"/>
    <w:rsid w:val="00C701BB"/>
    <w:rsid w:val="00C7144A"/>
    <w:rsid w:val="00C72BB1"/>
    <w:rsid w:val="00C72C40"/>
    <w:rsid w:val="00C7300F"/>
    <w:rsid w:val="00C73684"/>
    <w:rsid w:val="00C74A1C"/>
    <w:rsid w:val="00C74A40"/>
    <w:rsid w:val="00C753A7"/>
    <w:rsid w:val="00C76156"/>
    <w:rsid w:val="00C76E37"/>
    <w:rsid w:val="00C814EE"/>
    <w:rsid w:val="00C82BC1"/>
    <w:rsid w:val="00C836D4"/>
    <w:rsid w:val="00C84CB6"/>
    <w:rsid w:val="00C856A7"/>
    <w:rsid w:val="00C85D05"/>
    <w:rsid w:val="00C86AA2"/>
    <w:rsid w:val="00C86AC2"/>
    <w:rsid w:val="00C875CD"/>
    <w:rsid w:val="00C87607"/>
    <w:rsid w:val="00C87B78"/>
    <w:rsid w:val="00C87EDC"/>
    <w:rsid w:val="00C9103C"/>
    <w:rsid w:val="00C91E80"/>
    <w:rsid w:val="00C928AB"/>
    <w:rsid w:val="00C92AAB"/>
    <w:rsid w:val="00C94474"/>
    <w:rsid w:val="00C95C40"/>
    <w:rsid w:val="00C9612C"/>
    <w:rsid w:val="00CA0D6D"/>
    <w:rsid w:val="00CA11E0"/>
    <w:rsid w:val="00CA2734"/>
    <w:rsid w:val="00CA2A38"/>
    <w:rsid w:val="00CA3487"/>
    <w:rsid w:val="00CA3F65"/>
    <w:rsid w:val="00CA5F83"/>
    <w:rsid w:val="00CA70D9"/>
    <w:rsid w:val="00CB023A"/>
    <w:rsid w:val="00CB1358"/>
    <w:rsid w:val="00CB20B0"/>
    <w:rsid w:val="00CB216A"/>
    <w:rsid w:val="00CB2BBA"/>
    <w:rsid w:val="00CB4276"/>
    <w:rsid w:val="00CB4B7A"/>
    <w:rsid w:val="00CB4D36"/>
    <w:rsid w:val="00CB6130"/>
    <w:rsid w:val="00CB6D50"/>
    <w:rsid w:val="00CB7AAC"/>
    <w:rsid w:val="00CC0001"/>
    <w:rsid w:val="00CC0638"/>
    <w:rsid w:val="00CC2CAA"/>
    <w:rsid w:val="00CC3082"/>
    <w:rsid w:val="00CC3982"/>
    <w:rsid w:val="00CC7C93"/>
    <w:rsid w:val="00CD05B2"/>
    <w:rsid w:val="00CD22BF"/>
    <w:rsid w:val="00CD3CCB"/>
    <w:rsid w:val="00CD4D33"/>
    <w:rsid w:val="00CD51BB"/>
    <w:rsid w:val="00CD53E6"/>
    <w:rsid w:val="00CD6682"/>
    <w:rsid w:val="00CD6B21"/>
    <w:rsid w:val="00CD6E87"/>
    <w:rsid w:val="00CD6EFA"/>
    <w:rsid w:val="00CD7583"/>
    <w:rsid w:val="00CD7884"/>
    <w:rsid w:val="00CD7A4C"/>
    <w:rsid w:val="00CE0B0D"/>
    <w:rsid w:val="00CE10B5"/>
    <w:rsid w:val="00CE1190"/>
    <w:rsid w:val="00CE24C7"/>
    <w:rsid w:val="00CE2C43"/>
    <w:rsid w:val="00CE301B"/>
    <w:rsid w:val="00CE422D"/>
    <w:rsid w:val="00CE4E96"/>
    <w:rsid w:val="00CE51E3"/>
    <w:rsid w:val="00CE5690"/>
    <w:rsid w:val="00CE5A9C"/>
    <w:rsid w:val="00CE6251"/>
    <w:rsid w:val="00CE6C3D"/>
    <w:rsid w:val="00CE7128"/>
    <w:rsid w:val="00CF12AA"/>
    <w:rsid w:val="00CF138C"/>
    <w:rsid w:val="00CF16B0"/>
    <w:rsid w:val="00CF1853"/>
    <w:rsid w:val="00CF1A1A"/>
    <w:rsid w:val="00CF2162"/>
    <w:rsid w:val="00CF331A"/>
    <w:rsid w:val="00CF3CDA"/>
    <w:rsid w:val="00CF5F01"/>
    <w:rsid w:val="00CF7F83"/>
    <w:rsid w:val="00D01734"/>
    <w:rsid w:val="00D01DA7"/>
    <w:rsid w:val="00D025C2"/>
    <w:rsid w:val="00D02619"/>
    <w:rsid w:val="00D03CED"/>
    <w:rsid w:val="00D07C8D"/>
    <w:rsid w:val="00D107CB"/>
    <w:rsid w:val="00D118C4"/>
    <w:rsid w:val="00D11AA2"/>
    <w:rsid w:val="00D12504"/>
    <w:rsid w:val="00D1416D"/>
    <w:rsid w:val="00D14263"/>
    <w:rsid w:val="00D15680"/>
    <w:rsid w:val="00D157F1"/>
    <w:rsid w:val="00D16C4A"/>
    <w:rsid w:val="00D16D58"/>
    <w:rsid w:val="00D17928"/>
    <w:rsid w:val="00D17B68"/>
    <w:rsid w:val="00D17E7D"/>
    <w:rsid w:val="00D17ECE"/>
    <w:rsid w:val="00D21C7C"/>
    <w:rsid w:val="00D24EC9"/>
    <w:rsid w:val="00D2679E"/>
    <w:rsid w:val="00D268B5"/>
    <w:rsid w:val="00D26D04"/>
    <w:rsid w:val="00D274B0"/>
    <w:rsid w:val="00D27FAC"/>
    <w:rsid w:val="00D30110"/>
    <w:rsid w:val="00D33141"/>
    <w:rsid w:val="00D352B8"/>
    <w:rsid w:val="00D36574"/>
    <w:rsid w:val="00D36957"/>
    <w:rsid w:val="00D36BAC"/>
    <w:rsid w:val="00D371CA"/>
    <w:rsid w:val="00D37254"/>
    <w:rsid w:val="00D40DDB"/>
    <w:rsid w:val="00D41612"/>
    <w:rsid w:val="00D43523"/>
    <w:rsid w:val="00D43F2F"/>
    <w:rsid w:val="00D44EEB"/>
    <w:rsid w:val="00D44F77"/>
    <w:rsid w:val="00D4550B"/>
    <w:rsid w:val="00D45C96"/>
    <w:rsid w:val="00D46FD9"/>
    <w:rsid w:val="00D47C8C"/>
    <w:rsid w:val="00D504D5"/>
    <w:rsid w:val="00D50BF9"/>
    <w:rsid w:val="00D53D72"/>
    <w:rsid w:val="00D54B2A"/>
    <w:rsid w:val="00D55743"/>
    <w:rsid w:val="00D55832"/>
    <w:rsid w:val="00D5758F"/>
    <w:rsid w:val="00D57DBD"/>
    <w:rsid w:val="00D60BB6"/>
    <w:rsid w:val="00D627A4"/>
    <w:rsid w:val="00D6320D"/>
    <w:rsid w:val="00D63D76"/>
    <w:rsid w:val="00D63F24"/>
    <w:rsid w:val="00D6774B"/>
    <w:rsid w:val="00D67E09"/>
    <w:rsid w:val="00D67E54"/>
    <w:rsid w:val="00D726A3"/>
    <w:rsid w:val="00D72758"/>
    <w:rsid w:val="00D72DF0"/>
    <w:rsid w:val="00D73031"/>
    <w:rsid w:val="00D73244"/>
    <w:rsid w:val="00D7355D"/>
    <w:rsid w:val="00D73AB9"/>
    <w:rsid w:val="00D73E24"/>
    <w:rsid w:val="00D75DA6"/>
    <w:rsid w:val="00D76219"/>
    <w:rsid w:val="00D76A8A"/>
    <w:rsid w:val="00D77CFD"/>
    <w:rsid w:val="00D8020F"/>
    <w:rsid w:val="00D80FE3"/>
    <w:rsid w:val="00D8133A"/>
    <w:rsid w:val="00D81D11"/>
    <w:rsid w:val="00D81D85"/>
    <w:rsid w:val="00D86105"/>
    <w:rsid w:val="00D863B7"/>
    <w:rsid w:val="00D86499"/>
    <w:rsid w:val="00D86846"/>
    <w:rsid w:val="00D86C6D"/>
    <w:rsid w:val="00D87711"/>
    <w:rsid w:val="00D906A6"/>
    <w:rsid w:val="00D90D3C"/>
    <w:rsid w:val="00D90E06"/>
    <w:rsid w:val="00D91B9F"/>
    <w:rsid w:val="00D92918"/>
    <w:rsid w:val="00D93A24"/>
    <w:rsid w:val="00D94082"/>
    <w:rsid w:val="00D94EC1"/>
    <w:rsid w:val="00D957FB"/>
    <w:rsid w:val="00D9710B"/>
    <w:rsid w:val="00DA1305"/>
    <w:rsid w:val="00DA13DF"/>
    <w:rsid w:val="00DA1CD5"/>
    <w:rsid w:val="00DA2F89"/>
    <w:rsid w:val="00DA3246"/>
    <w:rsid w:val="00DA3FAE"/>
    <w:rsid w:val="00DA45EB"/>
    <w:rsid w:val="00DA48A8"/>
    <w:rsid w:val="00DA6B66"/>
    <w:rsid w:val="00DB1641"/>
    <w:rsid w:val="00DB1C12"/>
    <w:rsid w:val="00DB20C3"/>
    <w:rsid w:val="00DB394B"/>
    <w:rsid w:val="00DB3B1F"/>
    <w:rsid w:val="00DB3D39"/>
    <w:rsid w:val="00DB5934"/>
    <w:rsid w:val="00DB6150"/>
    <w:rsid w:val="00DB65C0"/>
    <w:rsid w:val="00DC028E"/>
    <w:rsid w:val="00DC050E"/>
    <w:rsid w:val="00DC05E9"/>
    <w:rsid w:val="00DC0E0F"/>
    <w:rsid w:val="00DC0F51"/>
    <w:rsid w:val="00DC4636"/>
    <w:rsid w:val="00DC4C54"/>
    <w:rsid w:val="00DC52A0"/>
    <w:rsid w:val="00DC5C4C"/>
    <w:rsid w:val="00DC706D"/>
    <w:rsid w:val="00DC73B1"/>
    <w:rsid w:val="00DC79F2"/>
    <w:rsid w:val="00DC7D7F"/>
    <w:rsid w:val="00DD0936"/>
    <w:rsid w:val="00DD0D91"/>
    <w:rsid w:val="00DD103C"/>
    <w:rsid w:val="00DD151E"/>
    <w:rsid w:val="00DD1707"/>
    <w:rsid w:val="00DD185D"/>
    <w:rsid w:val="00DD4D1A"/>
    <w:rsid w:val="00DD59FE"/>
    <w:rsid w:val="00DD6D66"/>
    <w:rsid w:val="00DD723A"/>
    <w:rsid w:val="00DE00E7"/>
    <w:rsid w:val="00DE032E"/>
    <w:rsid w:val="00DE034B"/>
    <w:rsid w:val="00DE0375"/>
    <w:rsid w:val="00DE0B91"/>
    <w:rsid w:val="00DE170C"/>
    <w:rsid w:val="00DE171F"/>
    <w:rsid w:val="00DE3886"/>
    <w:rsid w:val="00DE44A8"/>
    <w:rsid w:val="00DE62A4"/>
    <w:rsid w:val="00DE6EE5"/>
    <w:rsid w:val="00DE7B3A"/>
    <w:rsid w:val="00DF14DD"/>
    <w:rsid w:val="00DF3227"/>
    <w:rsid w:val="00DF3F59"/>
    <w:rsid w:val="00DF473E"/>
    <w:rsid w:val="00DF514F"/>
    <w:rsid w:val="00DF544A"/>
    <w:rsid w:val="00DF55CC"/>
    <w:rsid w:val="00DF5B46"/>
    <w:rsid w:val="00DF77F8"/>
    <w:rsid w:val="00E001F1"/>
    <w:rsid w:val="00E01B69"/>
    <w:rsid w:val="00E0211A"/>
    <w:rsid w:val="00E02430"/>
    <w:rsid w:val="00E03E70"/>
    <w:rsid w:val="00E040F5"/>
    <w:rsid w:val="00E042A8"/>
    <w:rsid w:val="00E06122"/>
    <w:rsid w:val="00E07361"/>
    <w:rsid w:val="00E07BFA"/>
    <w:rsid w:val="00E113BA"/>
    <w:rsid w:val="00E11BB6"/>
    <w:rsid w:val="00E11D5C"/>
    <w:rsid w:val="00E1290A"/>
    <w:rsid w:val="00E12AF2"/>
    <w:rsid w:val="00E12FA4"/>
    <w:rsid w:val="00E1553F"/>
    <w:rsid w:val="00E15872"/>
    <w:rsid w:val="00E158DD"/>
    <w:rsid w:val="00E17997"/>
    <w:rsid w:val="00E220CD"/>
    <w:rsid w:val="00E227FE"/>
    <w:rsid w:val="00E228B0"/>
    <w:rsid w:val="00E23914"/>
    <w:rsid w:val="00E23921"/>
    <w:rsid w:val="00E23DE0"/>
    <w:rsid w:val="00E243F5"/>
    <w:rsid w:val="00E24688"/>
    <w:rsid w:val="00E24C83"/>
    <w:rsid w:val="00E24EE5"/>
    <w:rsid w:val="00E25F93"/>
    <w:rsid w:val="00E26481"/>
    <w:rsid w:val="00E26E5E"/>
    <w:rsid w:val="00E32956"/>
    <w:rsid w:val="00E3350F"/>
    <w:rsid w:val="00E339F5"/>
    <w:rsid w:val="00E3459B"/>
    <w:rsid w:val="00E34800"/>
    <w:rsid w:val="00E34C81"/>
    <w:rsid w:val="00E35487"/>
    <w:rsid w:val="00E3556D"/>
    <w:rsid w:val="00E3574C"/>
    <w:rsid w:val="00E359B3"/>
    <w:rsid w:val="00E35B38"/>
    <w:rsid w:val="00E35BDC"/>
    <w:rsid w:val="00E35C54"/>
    <w:rsid w:val="00E360EE"/>
    <w:rsid w:val="00E36EE7"/>
    <w:rsid w:val="00E40578"/>
    <w:rsid w:val="00E40EF7"/>
    <w:rsid w:val="00E415C1"/>
    <w:rsid w:val="00E41F85"/>
    <w:rsid w:val="00E41F8A"/>
    <w:rsid w:val="00E42AF9"/>
    <w:rsid w:val="00E43B37"/>
    <w:rsid w:val="00E456BD"/>
    <w:rsid w:val="00E45C92"/>
    <w:rsid w:val="00E46508"/>
    <w:rsid w:val="00E46760"/>
    <w:rsid w:val="00E51243"/>
    <w:rsid w:val="00E52B7F"/>
    <w:rsid w:val="00E538F6"/>
    <w:rsid w:val="00E53A1B"/>
    <w:rsid w:val="00E5506C"/>
    <w:rsid w:val="00E5601A"/>
    <w:rsid w:val="00E566DD"/>
    <w:rsid w:val="00E56EDC"/>
    <w:rsid w:val="00E575DE"/>
    <w:rsid w:val="00E57BC8"/>
    <w:rsid w:val="00E60019"/>
    <w:rsid w:val="00E60378"/>
    <w:rsid w:val="00E6047A"/>
    <w:rsid w:val="00E60653"/>
    <w:rsid w:val="00E6183C"/>
    <w:rsid w:val="00E61DA0"/>
    <w:rsid w:val="00E639ED"/>
    <w:rsid w:val="00E658B2"/>
    <w:rsid w:val="00E6601E"/>
    <w:rsid w:val="00E66C5A"/>
    <w:rsid w:val="00E708AD"/>
    <w:rsid w:val="00E71446"/>
    <w:rsid w:val="00E71795"/>
    <w:rsid w:val="00E726E1"/>
    <w:rsid w:val="00E72703"/>
    <w:rsid w:val="00E727E6"/>
    <w:rsid w:val="00E734FA"/>
    <w:rsid w:val="00E74745"/>
    <w:rsid w:val="00E756F8"/>
    <w:rsid w:val="00E75B6F"/>
    <w:rsid w:val="00E768C2"/>
    <w:rsid w:val="00E769BC"/>
    <w:rsid w:val="00E76C86"/>
    <w:rsid w:val="00E817C8"/>
    <w:rsid w:val="00E826E9"/>
    <w:rsid w:val="00E82B39"/>
    <w:rsid w:val="00E83692"/>
    <w:rsid w:val="00E83C3C"/>
    <w:rsid w:val="00E8440C"/>
    <w:rsid w:val="00E84D0E"/>
    <w:rsid w:val="00E84EBF"/>
    <w:rsid w:val="00E866E9"/>
    <w:rsid w:val="00E90718"/>
    <w:rsid w:val="00E909DD"/>
    <w:rsid w:val="00E9242D"/>
    <w:rsid w:val="00E92EB8"/>
    <w:rsid w:val="00E930A6"/>
    <w:rsid w:val="00E9318C"/>
    <w:rsid w:val="00E94300"/>
    <w:rsid w:val="00E95C1C"/>
    <w:rsid w:val="00E95E48"/>
    <w:rsid w:val="00E967B5"/>
    <w:rsid w:val="00E971FA"/>
    <w:rsid w:val="00E97371"/>
    <w:rsid w:val="00EA01C3"/>
    <w:rsid w:val="00EA04DF"/>
    <w:rsid w:val="00EA1DB2"/>
    <w:rsid w:val="00EA38B9"/>
    <w:rsid w:val="00EA4443"/>
    <w:rsid w:val="00EA530A"/>
    <w:rsid w:val="00EA5551"/>
    <w:rsid w:val="00EA5559"/>
    <w:rsid w:val="00EA601F"/>
    <w:rsid w:val="00EA6D6D"/>
    <w:rsid w:val="00EA72E7"/>
    <w:rsid w:val="00EB0C9F"/>
    <w:rsid w:val="00EB18FC"/>
    <w:rsid w:val="00EB1DC1"/>
    <w:rsid w:val="00EB2316"/>
    <w:rsid w:val="00EB235E"/>
    <w:rsid w:val="00EB2ED5"/>
    <w:rsid w:val="00EB4196"/>
    <w:rsid w:val="00EB41BD"/>
    <w:rsid w:val="00EB470E"/>
    <w:rsid w:val="00EB48EF"/>
    <w:rsid w:val="00EB4E5F"/>
    <w:rsid w:val="00EB5A0E"/>
    <w:rsid w:val="00EB764F"/>
    <w:rsid w:val="00EB7F35"/>
    <w:rsid w:val="00EC0802"/>
    <w:rsid w:val="00EC0A53"/>
    <w:rsid w:val="00EC0E91"/>
    <w:rsid w:val="00EC0FC1"/>
    <w:rsid w:val="00EC441C"/>
    <w:rsid w:val="00EC4A87"/>
    <w:rsid w:val="00EC4C41"/>
    <w:rsid w:val="00EC512C"/>
    <w:rsid w:val="00EC54B0"/>
    <w:rsid w:val="00EC5CAD"/>
    <w:rsid w:val="00EC7505"/>
    <w:rsid w:val="00EC788B"/>
    <w:rsid w:val="00EC7B0B"/>
    <w:rsid w:val="00ED0A3C"/>
    <w:rsid w:val="00ED0FE8"/>
    <w:rsid w:val="00ED1B3A"/>
    <w:rsid w:val="00ED28A9"/>
    <w:rsid w:val="00ED4F01"/>
    <w:rsid w:val="00ED50E5"/>
    <w:rsid w:val="00ED680B"/>
    <w:rsid w:val="00ED7A6A"/>
    <w:rsid w:val="00EE0342"/>
    <w:rsid w:val="00EE1537"/>
    <w:rsid w:val="00EE2F1F"/>
    <w:rsid w:val="00EE4068"/>
    <w:rsid w:val="00EE6050"/>
    <w:rsid w:val="00EE78FD"/>
    <w:rsid w:val="00EE7C20"/>
    <w:rsid w:val="00EF1F2A"/>
    <w:rsid w:val="00EF2025"/>
    <w:rsid w:val="00EF2A8E"/>
    <w:rsid w:val="00EF3DD1"/>
    <w:rsid w:val="00EF448D"/>
    <w:rsid w:val="00EF450B"/>
    <w:rsid w:val="00EF4943"/>
    <w:rsid w:val="00EF4EAD"/>
    <w:rsid w:val="00EF53CE"/>
    <w:rsid w:val="00EF5905"/>
    <w:rsid w:val="00EF597A"/>
    <w:rsid w:val="00EF7393"/>
    <w:rsid w:val="00EF7716"/>
    <w:rsid w:val="00F01B5E"/>
    <w:rsid w:val="00F02CB6"/>
    <w:rsid w:val="00F03A69"/>
    <w:rsid w:val="00F05361"/>
    <w:rsid w:val="00F0694A"/>
    <w:rsid w:val="00F07567"/>
    <w:rsid w:val="00F0765F"/>
    <w:rsid w:val="00F1068D"/>
    <w:rsid w:val="00F11CD8"/>
    <w:rsid w:val="00F12718"/>
    <w:rsid w:val="00F12BA8"/>
    <w:rsid w:val="00F166B7"/>
    <w:rsid w:val="00F175F5"/>
    <w:rsid w:val="00F176FB"/>
    <w:rsid w:val="00F17CB8"/>
    <w:rsid w:val="00F17DB3"/>
    <w:rsid w:val="00F200B5"/>
    <w:rsid w:val="00F20DB1"/>
    <w:rsid w:val="00F2128B"/>
    <w:rsid w:val="00F2170A"/>
    <w:rsid w:val="00F22BDF"/>
    <w:rsid w:val="00F23566"/>
    <w:rsid w:val="00F2393B"/>
    <w:rsid w:val="00F241E1"/>
    <w:rsid w:val="00F25605"/>
    <w:rsid w:val="00F25956"/>
    <w:rsid w:val="00F25AFA"/>
    <w:rsid w:val="00F26FFE"/>
    <w:rsid w:val="00F27C7C"/>
    <w:rsid w:val="00F32A3A"/>
    <w:rsid w:val="00F330DB"/>
    <w:rsid w:val="00F34525"/>
    <w:rsid w:val="00F356D8"/>
    <w:rsid w:val="00F3579F"/>
    <w:rsid w:val="00F35B23"/>
    <w:rsid w:val="00F3616A"/>
    <w:rsid w:val="00F37119"/>
    <w:rsid w:val="00F37145"/>
    <w:rsid w:val="00F405CD"/>
    <w:rsid w:val="00F41372"/>
    <w:rsid w:val="00F41C85"/>
    <w:rsid w:val="00F44B0E"/>
    <w:rsid w:val="00F45B6B"/>
    <w:rsid w:val="00F45B6C"/>
    <w:rsid w:val="00F464F0"/>
    <w:rsid w:val="00F4681C"/>
    <w:rsid w:val="00F474E7"/>
    <w:rsid w:val="00F47BEB"/>
    <w:rsid w:val="00F5024C"/>
    <w:rsid w:val="00F50724"/>
    <w:rsid w:val="00F50A1A"/>
    <w:rsid w:val="00F51BDB"/>
    <w:rsid w:val="00F52BE6"/>
    <w:rsid w:val="00F54163"/>
    <w:rsid w:val="00F55128"/>
    <w:rsid w:val="00F552C9"/>
    <w:rsid w:val="00F55751"/>
    <w:rsid w:val="00F55B11"/>
    <w:rsid w:val="00F55B19"/>
    <w:rsid w:val="00F562CE"/>
    <w:rsid w:val="00F613EC"/>
    <w:rsid w:val="00F61754"/>
    <w:rsid w:val="00F62167"/>
    <w:rsid w:val="00F6232D"/>
    <w:rsid w:val="00F62FF0"/>
    <w:rsid w:val="00F63224"/>
    <w:rsid w:val="00F635CC"/>
    <w:rsid w:val="00F640A9"/>
    <w:rsid w:val="00F649F3"/>
    <w:rsid w:val="00F654C9"/>
    <w:rsid w:val="00F7066B"/>
    <w:rsid w:val="00F71C49"/>
    <w:rsid w:val="00F72B4C"/>
    <w:rsid w:val="00F7307E"/>
    <w:rsid w:val="00F73DF3"/>
    <w:rsid w:val="00F741FA"/>
    <w:rsid w:val="00F75444"/>
    <w:rsid w:val="00F75457"/>
    <w:rsid w:val="00F75739"/>
    <w:rsid w:val="00F76E13"/>
    <w:rsid w:val="00F77405"/>
    <w:rsid w:val="00F80A19"/>
    <w:rsid w:val="00F8196F"/>
    <w:rsid w:val="00F8237C"/>
    <w:rsid w:val="00F82817"/>
    <w:rsid w:val="00F834E8"/>
    <w:rsid w:val="00F8396D"/>
    <w:rsid w:val="00F84557"/>
    <w:rsid w:val="00F85384"/>
    <w:rsid w:val="00F8587C"/>
    <w:rsid w:val="00F862A4"/>
    <w:rsid w:val="00F8718B"/>
    <w:rsid w:val="00F903B1"/>
    <w:rsid w:val="00F90519"/>
    <w:rsid w:val="00F91964"/>
    <w:rsid w:val="00F9204A"/>
    <w:rsid w:val="00F9225B"/>
    <w:rsid w:val="00F92ADA"/>
    <w:rsid w:val="00F938A2"/>
    <w:rsid w:val="00F94554"/>
    <w:rsid w:val="00F94861"/>
    <w:rsid w:val="00F94D2E"/>
    <w:rsid w:val="00F95048"/>
    <w:rsid w:val="00F96B13"/>
    <w:rsid w:val="00FA147E"/>
    <w:rsid w:val="00FA2280"/>
    <w:rsid w:val="00FA2446"/>
    <w:rsid w:val="00FA2DE4"/>
    <w:rsid w:val="00FA3C79"/>
    <w:rsid w:val="00FA4369"/>
    <w:rsid w:val="00FA4EF8"/>
    <w:rsid w:val="00FA519F"/>
    <w:rsid w:val="00FA56F8"/>
    <w:rsid w:val="00FA56FC"/>
    <w:rsid w:val="00FA5A01"/>
    <w:rsid w:val="00FA6450"/>
    <w:rsid w:val="00FA6C85"/>
    <w:rsid w:val="00FA6CD2"/>
    <w:rsid w:val="00FA7E46"/>
    <w:rsid w:val="00FB0A5A"/>
    <w:rsid w:val="00FB1FAC"/>
    <w:rsid w:val="00FB3338"/>
    <w:rsid w:val="00FB5463"/>
    <w:rsid w:val="00FB5FB6"/>
    <w:rsid w:val="00FB74BE"/>
    <w:rsid w:val="00FC0DBE"/>
    <w:rsid w:val="00FC2296"/>
    <w:rsid w:val="00FC2956"/>
    <w:rsid w:val="00FC3347"/>
    <w:rsid w:val="00FC45B0"/>
    <w:rsid w:val="00FC49FE"/>
    <w:rsid w:val="00FC574F"/>
    <w:rsid w:val="00FC6248"/>
    <w:rsid w:val="00FC68FE"/>
    <w:rsid w:val="00FD0DBD"/>
    <w:rsid w:val="00FD16D3"/>
    <w:rsid w:val="00FD1FED"/>
    <w:rsid w:val="00FD3647"/>
    <w:rsid w:val="00FD36D5"/>
    <w:rsid w:val="00FD446C"/>
    <w:rsid w:val="00FD4527"/>
    <w:rsid w:val="00FD46C6"/>
    <w:rsid w:val="00FD5129"/>
    <w:rsid w:val="00FD589D"/>
    <w:rsid w:val="00FD6849"/>
    <w:rsid w:val="00FD6A61"/>
    <w:rsid w:val="00FD7518"/>
    <w:rsid w:val="00FE0689"/>
    <w:rsid w:val="00FE1ED2"/>
    <w:rsid w:val="00FE3169"/>
    <w:rsid w:val="00FE56CA"/>
    <w:rsid w:val="00FE5EED"/>
    <w:rsid w:val="00FE7259"/>
    <w:rsid w:val="00FE7579"/>
    <w:rsid w:val="00FE7B4E"/>
    <w:rsid w:val="00FF0D46"/>
    <w:rsid w:val="00FF0F9D"/>
    <w:rsid w:val="00FF1DB4"/>
    <w:rsid w:val="00FF22A1"/>
    <w:rsid w:val="00FF2356"/>
    <w:rsid w:val="00FF3BE1"/>
    <w:rsid w:val="00FF4D98"/>
    <w:rsid w:val="00FF5A5F"/>
    <w:rsid w:val="00FF6039"/>
    <w:rsid w:val="00FF6345"/>
    <w:rsid w:val="00FF7D8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B3338"/>
    <w:pPr>
      <w:jc w:val="both"/>
    </w:pPr>
    <w:rPr>
      <w:sz w:val="22"/>
      <w:szCs w:val="22"/>
      <w:lang w:eastAsia="en-US"/>
    </w:rPr>
  </w:style>
  <w:style w:type="paragraph" w:styleId="Titolo2">
    <w:name w:val="heading 2"/>
    <w:basedOn w:val="Normale"/>
    <w:next w:val="Normale"/>
    <w:link w:val="Titolo2Carattere"/>
    <w:semiHidden/>
    <w:unhideWhenUsed/>
    <w:qFormat/>
    <w:rsid w:val="00737445"/>
    <w:pPr>
      <w:keepNext/>
      <w:spacing w:before="240" w:after="60"/>
      <w:ind w:firstLine="284"/>
      <w:outlineLvl w:val="1"/>
    </w:pPr>
    <w:rPr>
      <w:rFonts w:ascii="Cambria" w:eastAsia="Times New Roman" w:hAnsi="Cambria"/>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84993"/>
    <w:rPr>
      <w:rFonts w:ascii="Tahoma" w:hAnsi="Tahoma"/>
      <w:sz w:val="16"/>
      <w:szCs w:val="16"/>
    </w:rPr>
  </w:style>
  <w:style w:type="character" w:customStyle="1" w:styleId="TestofumettoCarattere">
    <w:name w:val="Testo fumetto Carattere"/>
    <w:link w:val="Testofumetto"/>
    <w:uiPriority w:val="99"/>
    <w:semiHidden/>
    <w:rsid w:val="00084993"/>
    <w:rPr>
      <w:rFonts w:ascii="Tahoma" w:hAnsi="Tahoma" w:cs="Tahoma"/>
      <w:sz w:val="16"/>
      <w:szCs w:val="16"/>
    </w:rPr>
  </w:style>
  <w:style w:type="character" w:customStyle="1" w:styleId="Titolo2Carattere">
    <w:name w:val="Titolo 2 Carattere"/>
    <w:link w:val="Titolo2"/>
    <w:semiHidden/>
    <w:rsid w:val="00737445"/>
    <w:rPr>
      <w:rFonts w:ascii="Cambria" w:eastAsia="Times New Roman" w:hAnsi="Cambria"/>
      <w:b/>
      <w:bCs/>
      <w:i/>
      <w:iCs/>
      <w:sz w:val="28"/>
      <w:szCs w:val="28"/>
      <w:lang w:eastAsia="en-US"/>
    </w:rPr>
  </w:style>
  <w:style w:type="table" w:styleId="Grigliatabella">
    <w:name w:val="Table Grid"/>
    <w:basedOn w:val="Tabellanormale"/>
    <w:uiPriority w:val="59"/>
    <w:rsid w:val="007374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737445"/>
    <w:pPr>
      <w:spacing w:before="100" w:beforeAutospacing="1" w:after="100" w:afterAutospacing="1"/>
      <w:jc w:val="left"/>
    </w:pPr>
    <w:rPr>
      <w:rFonts w:ascii="Times New Roman" w:eastAsia="Times New Roman" w:hAnsi="Times New Roman"/>
      <w:sz w:val="24"/>
      <w:szCs w:val="24"/>
      <w:lang w:eastAsia="it-IT"/>
    </w:rPr>
  </w:style>
  <w:style w:type="paragraph" w:styleId="Intestazione">
    <w:name w:val="header"/>
    <w:basedOn w:val="Normale"/>
    <w:link w:val="IntestazioneCarattere"/>
    <w:uiPriority w:val="99"/>
    <w:semiHidden/>
    <w:unhideWhenUsed/>
    <w:rsid w:val="00737445"/>
    <w:pPr>
      <w:tabs>
        <w:tab w:val="center" w:pos="4819"/>
        <w:tab w:val="right" w:pos="9638"/>
      </w:tabs>
      <w:jc w:val="left"/>
    </w:pPr>
  </w:style>
  <w:style w:type="character" w:customStyle="1" w:styleId="IntestazioneCarattere">
    <w:name w:val="Intestazione Carattere"/>
    <w:link w:val="Intestazione"/>
    <w:uiPriority w:val="99"/>
    <w:semiHidden/>
    <w:rsid w:val="00737445"/>
    <w:rPr>
      <w:rFonts w:ascii="Calibri" w:eastAsia="Calibri" w:hAnsi="Calibri" w:cs="Times New Roman"/>
      <w:sz w:val="22"/>
      <w:szCs w:val="22"/>
      <w:lang w:eastAsia="en-US"/>
    </w:rPr>
  </w:style>
  <w:style w:type="paragraph" w:styleId="Pidipagina">
    <w:name w:val="footer"/>
    <w:basedOn w:val="Normale"/>
    <w:link w:val="PidipaginaCarattere"/>
    <w:uiPriority w:val="99"/>
    <w:unhideWhenUsed/>
    <w:rsid w:val="00737445"/>
    <w:pPr>
      <w:tabs>
        <w:tab w:val="center" w:pos="4819"/>
        <w:tab w:val="right" w:pos="9638"/>
      </w:tabs>
      <w:jc w:val="left"/>
    </w:pPr>
  </w:style>
  <w:style w:type="character" w:customStyle="1" w:styleId="PidipaginaCarattere">
    <w:name w:val="Piè di pagina Carattere"/>
    <w:link w:val="Pidipagina"/>
    <w:uiPriority w:val="99"/>
    <w:rsid w:val="00737445"/>
    <w:rPr>
      <w:rFonts w:ascii="Calibri" w:eastAsia="Calibri" w:hAnsi="Calibri" w:cs="Times New Roman"/>
      <w:sz w:val="22"/>
      <w:szCs w:val="22"/>
      <w:lang w:eastAsia="en-US"/>
    </w:rPr>
  </w:style>
  <w:style w:type="paragraph" w:styleId="Corpotesto">
    <w:name w:val="Body Text"/>
    <w:basedOn w:val="Normale"/>
    <w:link w:val="CorpotestoCarattere"/>
    <w:uiPriority w:val="99"/>
    <w:unhideWhenUsed/>
    <w:rsid w:val="00C11F7A"/>
    <w:pPr>
      <w:spacing w:after="120"/>
      <w:ind w:firstLine="284"/>
    </w:pPr>
  </w:style>
  <w:style w:type="character" w:customStyle="1" w:styleId="CorpotestoCarattere">
    <w:name w:val="Corpo testo Carattere"/>
    <w:link w:val="Corpotesto"/>
    <w:uiPriority w:val="99"/>
    <w:rsid w:val="00C11F7A"/>
    <w:rPr>
      <w:sz w:val="22"/>
      <w:szCs w:val="22"/>
      <w:lang w:eastAsia="en-US"/>
    </w:rPr>
  </w:style>
  <w:style w:type="paragraph" w:customStyle="1" w:styleId="Normale1">
    <w:name w:val="Normale1"/>
    <w:rsid w:val="00470C36"/>
    <w:pPr>
      <w:ind w:firstLine="284"/>
      <w:jc w:val="both"/>
    </w:pPr>
    <w:rPr>
      <w:rFonts w:cs="Calibri"/>
      <w:color w:val="000000"/>
      <w:sz w:val="22"/>
      <w:szCs w:val="22"/>
    </w:rPr>
  </w:style>
  <w:style w:type="paragraph" w:styleId="Paragrafoelenco">
    <w:name w:val="List Paragraph"/>
    <w:basedOn w:val="Normale"/>
    <w:uiPriority w:val="34"/>
    <w:qFormat/>
    <w:rsid w:val="00C701BB"/>
    <w:pPr>
      <w:ind w:left="720"/>
      <w:contextualSpacing/>
    </w:pPr>
  </w:style>
  <w:style w:type="character" w:styleId="Collegamentoipertestuale">
    <w:name w:val="Hyperlink"/>
    <w:basedOn w:val="Carpredefinitoparagrafo"/>
    <w:uiPriority w:val="99"/>
    <w:unhideWhenUsed/>
    <w:rsid w:val="000872D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B3338"/>
    <w:pPr>
      <w:jc w:val="both"/>
    </w:pPr>
    <w:rPr>
      <w:sz w:val="22"/>
      <w:szCs w:val="22"/>
      <w:lang w:eastAsia="en-US"/>
    </w:rPr>
  </w:style>
  <w:style w:type="paragraph" w:styleId="Titolo2">
    <w:name w:val="heading 2"/>
    <w:basedOn w:val="Normale"/>
    <w:next w:val="Normale"/>
    <w:link w:val="Titolo2Carattere"/>
    <w:semiHidden/>
    <w:unhideWhenUsed/>
    <w:qFormat/>
    <w:rsid w:val="00737445"/>
    <w:pPr>
      <w:keepNext/>
      <w:spacing w:before="240" w:after="60"/>
      <w:ind w:firstLine="284"/>
      <w:outlineLvl w:val="1"/>
    </w:pPr>
    <w:rPr>
      <w:rFonts w:ascii="Cambria" w:eastAsia="Times New Roman" w:hAnsi="Cambria"/>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84993"/>
    <w:rPr>
      <w:rFonts w:ascii="Tahoma" w:hAnsi="Tahoma"/>
      <w:sz w:val="16"/>
      <w:szCs w:val="16"/>
    </w:rPr>
  </w:style>
  <w:style w:type="character" w:customStyle="1" w:styleId="TestofumettoCarattere">
    <w:name w:val="Testo fumetto Carattere"/>
    <w:link w:val="Testofumetto"/>
    <w:uiPriority w:val="99"/>
    <w:semiHidden/>
    <w:rsid w:val="00084993"/>
    <w:rPr>
      <w:rFonts w:ascii="Tahoma" w:hAnsi="Tahoma" w:cs="Tahoma"/>
      <w:sz w:val="16"/>
      <w:szCs w:val="16"/>
    </w:rPr>
  </w:style>
  <w:style w:type="character" w:customStyle="1" w:styleId="Titolo2Carattere">
    <w:name w:val="Titolo 2 Carattere"/>
    <w:link w:val="Titolo2"/>
    <w:semiHidden/>
    <w:rsid w:val="00737445"/>
    <w:rPr>
      <w:rFonts w:ascii="Cambria" w:eastAsia="Times New Roman" w:hAnsi="Cambria"/>
      <w:b/>
      <w:bCs/>
      <w:i/>
      <w:iCs/>
      <w:sz w:val="28"/>
      <w:szCs w:val="28"/>
      <w:lang w:eastAsia="en-US"/>
    </w:rPr>
  </w:style>
  <w:style w:type="table" w:styleId="Grigliatabella">
    <w:name w:val="Table Grid"/>
    <w:basedOn w:val="Tabellanormale"/>
    <w:uiPriority w:val="59"/>
    <w:rsid w:val="007374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737445"/>
    <w:pPr>
      <w:spacing w:before="100" w:beforeAutospacing="1" w:after="100" w:afterAutospacing="1"/>
      <w:jc w:val="left"/>
    </w:pPr>
    <w:rPr>
      <w:rFonts w:ascii="Times New Roman" w:eastAsia="Times New Roman" w:hAnsi="Times New Roman"/>
      <w:sz w:val="24"/>
      <w:szCs w:val="24"/>
      <w:lang w:eastAsia="it-IT"/>
    </w:rPr>
  </w:style>
  <w:style w:type="paragraph" w:styleId="Intestazione">
    <w:name w:val="header"/>
    <w:basedOn w:val="Normale"/>
    <w:link w:val="IntestazioneCarattere"/>
    <w:uiPriority w:val="99"/>
    <w:semiHidden/>
    <w:unhideWhenUsed/>
    <w:rsid w:val="00737445"/>
    <w:pPr>
      <w:tabs>
        <w:tab w:val="center" w:pos="4819"/>
        <w:tab w:val="right" w:pos="9638"/>
      </w:tabs>
      <w:jc w:val="left"/>
    </w:pPr>
  </w:style>
  <w:style w:type="character" w:customStyle="1" w:styleId="IntestazioneCarattere">
    <w:name w:val="Intestazione Carattere"/>
    <w:link w:val="Intestazione"/>
    <w:uiPriority w:val="99"/>
    <w:semiHidden/>
    <w:rsid w:val="00737445"/>
    <w:rPr>
      <w:rFonts w:ascii="Calibri" w:eastAsia="Calibri" w:hAnsi="Calibri" w:cs="Times New Roman"/>
      <w:sz w:val="22"/>
      <w:szCs w:val="22"/>
      <w:lang w:eastAsia="en-US"/>
    </w:rPr>
  </w:style>
  <w:style w:type="paragraph" w:styleId="Pidipagina">
    <w:name w:val="footer"/>
    <w:basedOn w:val="Normale"/>
    <w:link w:val="PidipaginaCarattere"/>
    <w:uiPriority w:val="99"/>
    <w:unhideWhenUsed/>
    <w:rsid w:val="00737445"/>
    <w:pPr>
      <w:tabs>
        <w:tab w:val="center" w:pos="4819"/>
        <w:tab w:val="right" w:pos="9638"/>
      </w:tabs>
      <w:jc w:val="left"/>
    </w:pPr>
  </w:style>
  <w:style w:type="character" w:customStyle="1" w:styleId="PidipaginaCarattere">
    <w:name w:val="Piè di pagina Carattere"/>
    <w:link w:val="Pidipagina"/>
    <w:uiPriority w:val="99"/>
    <w:rsid w:val="00737445"/>
    <w:rPr>
      <w:rFonts w:ascii="Calibri" w:eastAsia="Calibri" w:hAnsi="Calibri" w:cs="Times New Roman"/>
      <w:sz w:val="22"/>
      <w:szCs w:val="22"/>
      <w:lang w:eastAsia="en-US"/>
    </w:rPr>
  </w:style>
  <w:style w:type="paragraph" w:styleId="Corpotesto">
    <w:name w:val="Body Text"/>
    <w:basedOn w:val="Normale"/>
    <w:link w:val="CorpotestoCarattere"/>
    <w:uiPriority w:val="99"/>
    <w:unhideWhenUsed/>
    <w:rsid w:val="00C11F7A"/>
    <w:pPr>
      <w:spacing w:after="120"/>
      <w:ind w:firstLine="284"/>
    </w:pPr>
  </w:style>
  <w:style w:type="character" w:customStyle="1" w:styleId="CorpotestoCarattere">
    <w:name w:val="Corpo testo Carattere"/>
    <w:link w:val="Corpotesto"/>
    <w:uiPriority w:val="99"/>
    <w:rsid w:val="00C11F7A"/>
    <w:rPr>
      <w:sz w:val="22"/>
      <w:szCs w:val="22"/>
      <w:lang w:eastAsia="en-US"/>
    </w:rPr>
  </w:style>
  <w:style w:type="paragraph" w:customStyle="1" w:styleId="Normale1">
    <w:name w:val="Normale1"/>
    <w:rsid w:val="00470C36"/>
    <w:pPr>
      <w:ind w:firstLine="284"/>
      <w:jc w:val="both"/>
    </w:pPr>
    <w:rPr>
      <w:rFonts w:cs="Calibri"/>
      <w:color w:val="000000"/>
      <w:sz w:val="22"/>
      <w:szCs w:val="22"/>
    </w:rPr>
  </w:style>
  <w:style w:type="paragraph" w:styleId="Paragrafoelenco">
    <w:name w:val="List Paragraph"/>
    <w:basedOn w:val="Normale"/>
    <w:uiPriority w:val="34"/>
    <w:qFormat/>
    <w:rsid w:val="00C701BB"/>
    <w:pPr>
      <w:ind w:left="720"/>
      <w:contextualSpacing/>
    </w:pPr>
  </w:style>
  <w:style w:type="character" w:styleId="Collegamentoipertestuale">
    <w:name w:val="Hyperlink"/>
    <w:basedOn w:val="Carpredefinitoparagrafo"/>
    <w:uiPriority w:val="99"/>
    <w:unhideWhenUsed/>
    <w:rsid w:val="000872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320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907D22-17AA-45C3-88F0-803FED989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2199</Words>
  <Characters>12540</Characters>
  <Application>Microsoft Office Word</Application>
  <DocSecurity>0</DocSecurity>
  <Lines>104</Lines>
  <Paragraphs>29</Paragraphs>
  <ScaleCrop>false</ScaleCrop>
  <HeadingPairs>
    <vt:vector size="2" baseType="variant">
      <vt:variant>
        <vt:lpstr>Titolo</vt:lpstr>
      </vt:variant>
      <vt:variant>
        <vt:i4>1</vt:i4>
      </vt:variant>
    </vt:vector>
  </HeadingPairs>
  <TitlesOfParts>
    <vt:vector size="1" baseType="lpstr">
      <vt:lpstr/>
    </vt:vector>
  </TitlesOfParts>
  <Company>Confindustria</Company>
  <LinksUpToDate>false</LinksUpToDate>
  <CharactersWithSpaces>14710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massimo sabatini</dc:creator>
  <cp:lastModifiedBy>Capasso Salvio</cp:lastModifiedBy>
  <cp:revision>6</cp:revision>
  <cp:lastPrinted>2017-12-22T08:52:00Z</cp:lastPrinted>
  <dcterms:created xsi:type="dcterms:W3CDTF">2017-12-27T08:25:00Z</dcterms:created>
  <dcterms:modified xsi:type="dcterms:W3CDTF">2017-12-27T08:44:00Z</dcterms:modified>
</cp:coreProperties>
</file>