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C0" w:rsidRPr="00B369E8" w:rsidRDefault="009156C0" w:rsidP="009156C0">
      <w:pPr>
        <w:spacing w:after="120"/>
        <w:rPr>
          <w:rFonts w:ascii="Helvetica" w:hAnsi="Helvetica"/>
          <w:lang w:val="en-US"/>
        </w:rPr>
      </w:pPr>
      <w:r w:rsidRPr="00F464F0">
        <w:rPr>
          <w:rFonts w:ascii="Helvetica" w:hAnsi="Helvetica"/>
          <w:noProof/>
          <w:lang w:eastAsia="it-IT"/>
        </w:rPr>
        <w:drawing>
          <wp:inline distT="0" distB="0" distL="0" distR="0">
            <wp:extent cx="1294765" cy="753745"/>
            <wp:effectExtent l="19050" t="0" r="635" b="0"/>
            <wp:docPr id="50" name="Immagine 1" descr="C:\Users\CFortuna\AppData\Local\Temp\notesE1EF34\ML_280_E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CFortuna\AppData\Local\Temp\notesE1EF34\ML_280_EPI.jpg"/>
                    <pic:cNvPicPr>
                      <a:picLocks noChangeAspect="1" noChangeArrowheads="1"/>
                    </pic:cNvPicPr>
                  </pic:nvPicPr>
                  <pic:blipFill>
                    <a:blip r:embed="rId9" cstate="print"/>
                    <a:srcRect/>
                    <a:stretch>
                      <a:fillRect/>
                    </a:stretch>
                  </pic:blipFill>
                  <pic:spPr bwMode="auto">
                    <a:xfrm>
                      <a:off x="0" y="0"/>
                      <a:ext cx="1294765" cy="753745"/>
                    </a:xfrm>
                    <a:prstGeom prst="rect">
                      <a:avLst/>
                    </a:prstGeom>
                    <a:noFill/>
                    <a:ln w="9525">
                      <a:noFill/>
                      <a:miter lim="800000"/>
                      <a:headEnd/>
                      <a:tailEnd/>
                    </a:ln>
                  </pic:spPr>
                </pic:pic>
              </a:graphicData>
            </a:graphic>
          </wp:inline>
        </w:drawing>
      </w:r>
      <w:r w:rsidRPr="00B369E8">
        <w:rPr>
          <w:rFonts w:ascii="Helvetica" w:hAnsi="Helvetica"/>
          <w:noProof/>
          <w:lang w:val="en-US" w:eastAsia="it-IT"/>
        </w:rPr>
        <w:t xml:space="preserve">                   </w:t>
      </w:r>
      <w:r w:rsidRPr="00B369E8">
        <w:rPr>
          <w:rFonts w:ascii="Helvetica" w:hAnsi="Helvetica"/>
          <w:lang w:val="en-US"/>
        </w:rPr>
        <w:tab/>
      </w:r>
      <w:r w:rsidRPr="00B369E8">
        <w:rPr>
          <w:rFonts w:ascii="Helvetica" w:hAnsi="Helvetica"/>
          <w:lang w:val="en-US"/>
        </w:rPr>
        <w:tab/>
      </w:r>
      <w:r w:rsidRPr="00B369E8">
        <w:rPr>
          <w:rFonts w:ascii="Helvetica" w:hAnsi="Helvetica"/>
          <w:lang w:val="en-US"/>
        </w:rPr>
        <w:tab/>
      </w:r>
      <w:r w:rsidRPr="00B369E8">
        <w:rPr>
          <w:rFonts w:ascii="Helvetica" w:hAnsi="Helvetica"/>
          <w:lang w:val="en-US"/>
        </w:rPr>
        <w:tab/>
      </w:r>
      <w:r w:rsidRPr="00B369E8">
        <w:rPr>
          <w:rFonts w:ascii="Helvetica" w:hAnsi="Helvetica"/>
          <w:lang w:val="en-US"/>
        </w:rPr>
        <w:tab/>
      </w:r>
      <w:r w:rsidRPr="00B369E8">
        <w:rPr>
          <w:rFonts w:ascii="Helvetica" w:hAnsi="Helvetica"/>
          <w:lang w:val="en-US"/>
        </w:rPr>
        <w:tab/>
      </w:r>
      <w:r w:rsidRPr="00F464F0">
        <w:rPr>
          <w:rFonts w:ascii="Helvetica" w:hAnsi="Helvetica"/>
          <w:noProof/>
          <w:lang w:eastAsia="it-IT"/>
        </w:rPr>
        <w:drawing>
          <wp:inline distT="0" distB="0" distL="0" distR="0">
            <wp:extent cx="1514475" cy="614680"/>
            <wp:effectExtent l="19050" t="0" r="9525" b="0"/>
            <wp:docPr id="5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0" cstate="print"/>
                    <a:srcRect/>
                    <a:stretch>
                      <a:fillRect/>
                    </a:stretch>
                  </pic:blipFill>
                  <pic:spPr bwMode="auto">
                    <a:xfrm>
                      <a:off x="0" y="0"/>
                      <a:ext cx="1514475" cy="614680"/>
                    </a:xfrm>
                    <a:prstGeom prst="rect">
                      <a:avLst/>
                    </a:prstGeom>
                    <a:noFill/>
                    <a:ln w="9525">
                      <a:noFill/>
                      <a:miter lim="800000"/>
                      <a:headEnd/>
                      <a:tailEnd/>
                    </a:ln>
                  </pic:spPr>
                </pic:pic>
              </a:graphicData>
            </a:graphic>
          </wp:inline>
        </w:drawing>
      </w:r>
    </w:p>
    <w:p w:rsidR="00254E57" w:rsidRDefault="00254E57" w:rsidP="00254E57">
      <w:pPr>
        <w:spacing w:after="120"/>
        <w:rPr>
          <w:rFonts w:asciiTheme="minorHAnsi" w:hAnsiTheme="minorHAnsi"/>
          <w:b/>
          <w:color w:val="000000"/>
          <w:lang w:val="en-GB"/>
        </w:rPr>
      </w:pPr>
      <w:r w:rsidRPr="00056255">
        <w:rPr>
          <w:rFonts w:asciiTheme="minorHAnsi" w:hAnsiTheme="minorHAnsi"/>
          <w:b/>
          <w:color w:val="000000"/>
          <w:lang w:val="en-GB"/>
        </w:rPr>
        <w:t xml:space="preserve">CONFINDUSTRIA-SRM - CHECK UP MEZZOGIORNO: Positive results for private investment and tourism, </w:t>
      </w:r>
      <w:r>
        <w:rPr>
          <w:rFonts w:asciiTheme="minorHAnsi" w:hAnsiTheme="minorHAnsi"/>
          <w:b/>
          <w:color w:val="000000"/>
          <w:lang w:val="en-GB"/>
        </w:rPr>
        <w:t xml:space="preserve">the </w:t>
      </w:r>
      <w:proofErr w:type="spellStart"/>
      <w:r>
        <w:rPr>
          <w:rFonts w:asciiTheme="minorHAnsi" w:hAnsiTheme="minorHAnsi"/>
          <w:b/>
          <w:color w:val="000000"/>
          <w:lang w:val="en-GB"/>
        </w:rPr>
        <w:t>Mezzogiorno</w:t>
      </w:r>
      <w:proofErr w:type="spellEnd"/>
      <w:r>
        <w:rPr>
          <w:rFonts w:asciiTheme="minorHAnsi" w:hAnsiTheme="minorHAnsi"/>
          <w:b/>
          <w:color w:val="000000"/>
          <w:lang w:val="en-GB"/>
        </w:rPr>
        <w:t xml:space="preserve"> is on the move</w:t>
      </w:r>
    </w:p>
    <w:p w:rsidR="00254E57" w:rsidRDefault="00254E57" w:rsidP="00254E57">
      <w:pPr>
        <w:spacing w:after="120"/>
        <w:rPr>
          <w:rFonts w:asciiTheme="minorHAnsi" w:hAnsiTheme="minorHAnsi"/>
          <w:lang w:val="en-GB"/>
        </w:rPr>
      </w:pPr>
      <w:r w:rsidRPr="00056255">
        <w:rPr>
          <w:rFonts w:asciiTheme="minorHAnsi" w:hAnsiTheme="minorHAnsi"/>
          <w:lang w:val="en-GB"/>
        </w:rPr>
        <w:t xml:space="preserve">2017 ended with a moderate but steady improvement of Southern economy. </w:t>
      </w:r>
      <w:r>
        <w:rPr>
          <w:rFonts w:asciiTheme="minorHAnsi" w:hAnsiTheme="minorHAnsi"/>
          <w:lang w:val="en-GB"/>
        </w:rPr>
        <w:t xml:space="preserve">This is confirmed by the </w:t>
      </w:r>
      <w:r>
        <w:rPr>
          <w:rFonts w:asciiTheme="minorHAnsi" w:hAnsiTheme="minorHAnsi"/>
          <w:b/>
          <w:lang w:val="en-GB"/>
        </w:rPr>
        <w:t xml:space="preserve">Check Up </w:t>
      </w:r>
      <w:proofErr w:type="spellStart"/>
      <w:r>
        <w:rPr>
          <w:rFonts w:asciiTheme="minorHAnsi" w:hAnsiTheme="minorHAnsi"/>
          <w:b/>
          <w:lang w:val="en-GB"/>
        </w:rPr>
        <w:t>Mezzogiorno</w:t>
      </w:r>
      <w:proofErr w:type="spellEnd"/>
      <w:r>
        <w:rPr>
          <w:rFonts w:asciiTheme="minorHAnsi" w:hAnsiTheme="minorHAnsi"/>
          <w:b/>
          <w:lang w:val="en-GB"/>
        </w:rPr>
        <w:t xml:space="preserve"> of December 2017</w:t>
      </w:r>
      <w:r>
        <w:rPr>
          <w:rFonts w:asciiTheme="minorHAnsi" w:hAnsiTheme="minorHAnsi"/>
          <w:lang w:val="en-GB"/>
        </w:rPr>
        <w:t xml:space="preserve">, the traditional study carried out by Confindustria and SRM, </w:t>
      </w:r>
      <w:proofErr w:type="spellStart"/>
      <w:r>
        <w:rPr>
          <w:rFonts w:asciiTheme="minorHAnsi" w:hAnsiTheme="minorHAnsi"/>
          <w:lang w:val="en-GB"/>
        </w:rPr>
        <w:t>Studi</w:t>
      </w:r>
      <w:proofErr w:type="spellEnd"/>
      <w:r>
        <w:rPr>
          <w:rFonts w:asciiTheme="minorHAnsi" w:hAnsiTheme="minorHAnsi"/>
          <w:lang w:val="en-GB"/>
        </w:rPr>
        <w:t xml:space="preserve"> e </w:t>
      </w:r>
      <w:proofErr w:type="spellStart"/>
      <w:r>
        <w:rPr>
          <w:rFonts w:asciiTheme="minorHAnsi" w:hAnsiTheme="minorHAnsi"/>
          <w:lang w:val="en-GB"/>
        </w:rPr>
        <w:t>Ricerche</w:t>
      </w:r>
      <w:proofErr w:type="spellEnd"/>
      <w:r>
        <w:rPr>
          <w:rFonts w:asciiTheme="minorHAnsi" w:hAnsiTheme="minorHAnsi"/>
          <w:lang w:val="en-GB"/>
        </w:rPr>
        <w:t xml:space="preserve"> per </w:t>
      </w:r>
      <w:proofErr w:type="spellStart"/>
      <w:r>
        <w:rPr>
          <w:rFonts w:asciiTheme="minorHAnsi" w:hAnsiTheme="minorHAnsi"/>
          <w:lang w:val="en-GB"/>
        </w:rPr>
        <w:t>il</w:t>
      </w:r>
      <w:proofErr w:type="spellEnd"/>
      <w:r>
        <w:rPr>
          <w:rFonts w:asciiTheme="minorHAnsi" w:hAnsiTheme="minorHAnsi"/>
          <w:lang w:val="en-GB"/>
        </w:rPr>
        <w:t xml:space="preserve"> </w:t>
      </w:r>
      <w:proofErr w:type="spellStart"/>
      <w:r>
        <w:rPr>
          <w:rFonts w:asciiTheme="minorHAnsi" w:hAnsiTheme="minorHAnsi"/>
          <w:lang w:val="en-GB"/>
        </w:rPr>
        <w:t>Mezzogiorno</w:t>
      </w:r>
      <w:proofErr w:type="spellEnd"/>
      <w:r>
        <w:rPr>
          <w:rFonts w:asciiTheme="minorHAnsi" w:hAnsiTheme="minorHAnsi"/>
          <w:lang w:val="en-GB"/>
        </w:rPr>
        <w:t xml:space="preserve"> (research centre of the </w:t>
      </w:r>
      <w:proofErr w:type="spellStart"/>
      <w:r>
        <w:rPr>
          <w:rFonts w:asciiTheme="minorHAnsi" w:hAnsiTheme="minorHAnsi"/>
          <w:lang w:val="en-GB"/>
        </w:rPr>
        <w:t>Gruppo</w:t>
      </w:r>
      <w:proofErr w:type="spellEnd"/>
      <w:r>
        <w:rPr>
          <w:rFonts w:asciiTheme="minorHAnsi" w:hAnsiTheme="minorHAnsi"/>
          <w:lang w:val="en-GB"/>
        </w:rPr>
        <w:t xml:space="preserve"> Intesa Sanpaolo).</w:t>
      </w:r>
    </w:p>
    <w:p w:rsidR="00254E57" w:rsidRDefault="00254E57" w:rsidP="00254E57">
      <w:pPr>
        <w:spacing w:after="120"/>
        <w:rPr>
          <w:rFonts w:asciiTheme="minorHAnsi" w:hAnsiTheme="minorHAnsi"/>
          <w:lang w:val="en-GB"/>
        </w:rPr>
      </w:pPr>
      <w:r>
        <w:rPr>
          <w:rFonts w:asciiTheme="minorHAnsi" w:hAnsiTheme="minorHAnsi"/>
          <w:lang w:val="en-GB"/>
        </w:rPr>
        <w:t xml:space="preserve">After a 2016 where the Southern regions grew in line with the national average, the expectations related to 2017 </w:t>
      </w:r>
      <w:r>
        <w:rPr>
          <w:rFonts w:asciiTheme="minorHAnsi" w:hAnsiTheme="minorHAnsi"/>
          <w:b/>
          <w:lang w:val="en-GB"/>
        </w:rPr>
        <w:t>confirm the growth trend</w:t>
      </w:r>
      <w:r>
        <w:rPr>
          <w:rFonts w:asciiTheme="minorHAnsi" w:hAnsiTheme="minorHAnsi"/>
          <w:lang w:val="en-GB"/>
        </w:rPr>
        <w:t>, which should carry on also in 2018, with a GDP increase higher than 1%. The indices for trust, being close to the maximum values, confirm this moderately positive situation.</w:t>
      </w:r>
    </w:p>
    <w:p w:rsidR="00254E57" w:rsidRDefault="00254E57" w:rsidP="00254E57">
      <w:pPr>
        <w:spacing w:after="120"/>
        <w:rPr>
          <w:rFonts w:asciiTheme="minorHAnsi" w:hAnsiTheme="minorHAnsi"/>
          <w:lang w:val="en-GB"/>
        </w:rPr>
      </w:pPr>
      <w:r>
        <w:rPr>
          <w:rFonts w:asciiTheme="minorHAnsi" w:hAnsiTheme="minorHAnsi"/>
          <w:lang w:val="en-GB"/>
        </w:rPr>
        <w:t xml:space="preserve">This trend is confirmed by the </w:t>
      </w:r>
      <w:r>
        <w:rPr>
          <w:rFonts w:asciiTheme="minorHAnsi" w:hAnsiTheme="minorHAnsi"/>
          <w:b/>
          <w:lang w:val="en-GB"/>
        </w:rPr>
        <w:t>Synthetic Index of Southern Economy</w:t>
      </w:r>
      <w:r>
        <w:rPr>
          <w:rFonts w:asciiTheme="minorHAnsi" w:hAnsiTheme="minorHAnsi"/>
          <w:lang w:val="en-GB"/>
        </w:rPr>
        <w:t xml:space="preserve">, elaborated by Confindustria and SRM, which shows that every indicator is growing. </w:t>
      </w:r>
      <w:r>
        <w:rPr>
          <w:rFonts w:asciiTheme="minorHAnsi" w:hAnsiTheme="minorHAnsi"/>
          <w:b/>
          <w:lang w:val="en-GB"/>
        </w:rPr>
        <w:t xml:space="preserve">The GDP of the </w:t>
      </w:r>
      <w:proofErr w:type="spellStart"/>
      <w:r>
        <w:rPr>
          <w:rFonts w:asciiTheme="minorHAnsi" w:hAnsiTheme="minorHAnsi"/>
          <w:b/>
          <w:lang w:val="en-GB"/>
        </w:rPr>
        <w:t>Mezzogiorno</w:t>
      </w:r>
      <w:proofErr w:type="spellEnd"/>
      <w:r>
        <w:rPr>
          <w:rFonts w:asciiTheme="minorHAnsi" w:hAnsiTheme="minorHAnsi"/>
          <w:b/>
          <w:lang w:val="en-GB"/>
        </w:rPr>
        <w:t xml:space="preserve"> has increased for the second year in a row </w:t>
      </w:r>
      <w:r>
        <w:rPr>
          <w:rFonts w:asciiTheme="minorHAnsi" w:hAnsiTheme="minorHAnsi"/>
          <w:lang w:val="en-GB"/>
        </w:rPr>
        <w:t xml:space="preserve">(+1%): the </w:t>
      </w:r>
      <w:r>
        <w:rPr>
          <w:rFonts w:asciiTheme="minorHAnsi" w:hAnsiTheme="minorHAnsi"/>
          <w:b/>
          <w:lang w:val="en-GB"/>
        </w:rPr>
        <w:t xml:space="preserve">investment </w:t>
      </w:r>
      <w:r>
        <w:rPr>
          <w:rFonts w:asciiTheme="minorHAnsi" w:hAnsiTheme="minorHAnsi"/>
          <w:lang w:val="en-GB"/>
        </w:rPr>
        <w:t xml:space="preserve">is also increasing again, driven by private ones, especially by the ones related </w:t>
      </w:r>
      <w:r>
        <w:rPr>
          <w:rFonts w:asciiTheme="minorHAnsi" w:hAnsiTheme="minorHAnsi"/>
          <w:b/>
          <w:lang w:val="en-GB"/>
        </w:rPr>
        <w:t>to industrial sectors</w:t>
      </w:r>
      <w:r>
        <w:rPr>
          <w:rFonts w:asciiTheme="minorHAnsi" w:hAnsiTheme="minorHAnsi"/>
          <w:lang w:val="en-GB"/>
        </w:rPr>
        <w:t xml:space="preserve">, which, only during this last year, have had a 40% increase on the previous year. Although this is still not enough to return to the values of 2007, it’s still a significant leap forward. </w:t>
      </w:r>
    </w:p>
    <w:p w:rsidR="00254E57" w:rsidRPr="00BA73F5" w:rsidRDefault="00254E57" w:rsidP="00254E57">
      <w:pPr>
        <w:spacing w:after="120"/>
        <w:rPr>
          <w:rFonts w:asciiTheme="minorHAnsi" w:hAnsiTheme="minorHAnsi"/>
          <w:lang w:val="en-GB"/>
        </w:rPr>
      </w:pPr>
      <w:r>
        <w:rPr>
          <w:rFonts w:asciiTheme="minorHAnsi" w:hAnsiTheme="minorHAnsi"/>
          <w:lang w:val="en-GB"/>
        </w:rPr>
        <w:t xml:space="preserve">The recovery has been confirmed to be mainly in the hands of the companies: the </w:t>
      </w:r>
      <w:r>
        <w:rPr>
          <w:rFonts w:asciiTheme="minorHAnsi" w:hAnsiTheme="minorHAnsi"/>
          <w:b/>
          <w:lang w:val="en-GB"/>
        </w:rPr>
        <w:t>number of active ones</w:t>
      </w:r>
      <w:r>
        <w:rPr>
          <w:rFonts w:asciiTheme="minorHAnsi" w:hAnsiTheme="minorHAnsi"/>
          <w:lang w:val="en-GB"/>
        </w:rPr>
        <w:t xml:space="preserve">, in the third trimester of 2017, has increased by about 7thousand units (+0.4%) compared to the same period of 2016, and this trend is even more significant when compared to the simultaneous decrease that occurred in the rest of the Country (-0.1%). In particular, </w:t>
      </w:r>
      <w:r>
        <w:rPr>
          <w:rFonts w:asciiTheme="minorHAnsi" w:hAnsiTheme="minorHAnsi"/>
          <w:b/>
          <w:lang w:val="en-GB"/>
        </w:rPr>
        <w:t xml:space="preserve">the increase of capital companies </w:t>
      </w:r>
      <w:r>
        <w:rPr>
          <w:rFonts w:asciiTheme="minorHAnsi" w:hAnsiTheme="minorHAnsi"/>
          <w:lang w:val="en-GB"/>
        </w:rPr>
        <w:t xml:space="preserve">carries on (+17 thousand in the III trimester of 2017 on the same period of the previous year), with almost two times the pace of the Centre-North, and at the same time the </w:t>
      </w:r>
      <w:r>
        <w:rPr>
          <w:rFonts w:asciiTheme="minorHAnsi" w:hAnsiTheme="minorHAnsi"/>
          <w:b/>
          <w:lang w:val="en-GB"/>
        </w:rPr>
        <w:t>share of companies with a number of employees between 10 and 49 has increased again (+0.2%)</w:t>
      </w:r>
      <w:r>
        <w:rPr>
          <w:rFonts w:asciiTheme="minorHAnsi" w:hAnsiTheme="minorHAnsi"/>
          <w:lang w:val="en-GB"/>
        </w:rPr>
        <w:t xml:space="preserve">, two clear signals of the strengthening of the productive fabric. </w:t>
      </w:r>
    </w:p>
    <w:p w:rsidR="00254E57" w:rsidRPr="00BA73F5" w:rsidRDefault="00254E57" w:rsidP="00254E57">
      <w:pPr>
        <w:spacing w:after="120"/>
        <w:rPr>
          <w:rFonts w:asciiTheme="minorHAnsi" w:hAnsiTheme="minorHAnsi"/>
          <w:lang w:val="en-GB"/>
        </w:rPr>
      </w:pPr>
      <w:r>
        <w:rPr>
          <w:rFonts w:asciiTheme="minorHAnsi" w:hAnsiTheme="minorHAnsi"/>
          <w:lang w:val="en-GB"/>
        </w:rPr>
        <w:t xml:space="preserve">This fabric has been increasing its </w:t>
      </w:r>
      <w:r>
        <w:rPr>
          <w:rFonts w:asciiTheme="minorHAnsi" w:hAnsiTheme="minorHAnsi"/>
          <w:b/>
          <w:lang w:val="en-GB"/>
        </w:rPr>
        <w:t>dynamism</w:t>
      </w:r>
      <w:r>
        <w:rPr>
          <w:rFonts w:asciiTheme="minorHAnsi" w:hAnsiTheme="minorHAnsi"/>
          <w:lang w:val="en-GB"/>
        </w:rPr>
        <w:t xml:space="preserve">: the number of </w:t>
      </w:r>
      <w:r>
        <w:rPr>
          <w:rFonts w:asciiTheme="minorHAnsi" w:hAnsiTheme="minorHAnsi"/>
          <w:b/>
          <w:lang w:val="en-GB"/>
        </w:rPr>
        <w:t xml:space="preserve">innovative </w:t>
      </w:r>
      <w:proofErr w:type="spellStart"/>
      <w:r>
        <w:rPr>
          <w:rFonts w:asciiTheme="minorHAnsi" w:hAnsiTheme="minorHAnsi"/>
          <w:b/>
          <w:lang w:val="en-GB"/>
        </w:rPr>
        <w:t>startups</w:t>
      </w:r>
      <w:proofErr w:type="spellEnd"/>
      <w:r>
        <w:rPr>
          <w:rFonts w:asciiTheme="minorHAnsi" w:hAnsiTheme="minorHAnsi"/>
          <w:b/>
          <w:lang w:val="en-GB"/>
        </w:rPr>
        <w:t xml:space="preserve"> </w:t>
      </w:r>
      <w:r>
        <w:rPr>
          <w:rFonts w:asciiTheme="minorHAnsi" w:hAnsiTheme="minorHAnsi"/>
          <w:lang w:val="en-GB"/>
        </w:rPr>
        <w:t xml:space="preserve">is rising (31.1% more in the II trimester of 2017 on the same period of the previous year), a better data than the one registered in the Centre-North (+22.4%), with a positive trend for all the regions of the </w:t>
      </w:r>
      <w:proofErr w:type="spellStart"/>
      <w:r>
        <w:rPr>
          <w:rFonts w:asciiTheme="minorHAnsi" w:hAnsiTheme="minorHAnsi"/>
          <w:lang w:val="en-GB"/>
        </w:rPr>
        <w:t>Mezzogiorno</w:t>
      </w:r>
      <w:proofErr w:type="spellEnd"/>
      <w:r>
        <w:rPr>
          <w:rFonts w:asciiTheme="minorHAnsi" w:hAnsiTheme="minorHAnsi"/>
          <w:lang w:val="en-GB"/>
        </w:rPr>
        <w:t xml:space="preserve">. There are also positive results on the data related to </w:t>
      </w:r>
      <w:r>
        <w:rPr>
          <w:rFonts w:asciiTheme="minorHAnsi" w:hAnsiTheme="minorHAnsi"/>
          <w:b/>
          <w:lang w:val="en-GB"/>
        </w:rPr>
        <w:t xml:space="preserve">networking companies </w:t>
      </w:r>
      <w:r>
        <w:rPr>
          <w:rFonts w:asciiTheme="minorHAnsi" w:hAnsiTheme="minorHAnsi"/>
          <w:lang w:val="en-GB"/>
        </w:rPr>
        <w:t xml:space="preserve">(which are now almost 6,000, 1,000 more during the second part of the year) and </w:t>
      </w:r>
      <w:r>
        <w:rPr>
          <w:rFonts w:asciiTheme="minorHAnsi" w:hAnsiTheme="minorHAnsi"/>
          <w:b/>
          <w:lang w:val="en-GB"/>
        </w:rPr>
        <w:t xml:space="preserve">youth companies </w:t>
      </w:r>
      <w:r>
        <w:rPr>
          <w:rFonts w:asciiTheme="minorHAnsi" w:hAnsiTheme="minorHAnsi"/>
          <w:lang w:val="en-GB"/>
        </w:rPr>
        <w:t xml:space="preserve">(more than 252,000 in 2016, 41.5% of the national total) and </w:t>
      </w:r>
      <w:r>
        <w:rPr>
          <w:rFonts w:asciiTheme="minorHAnsi" w:hAnsiTheme="minorHAnsi"/>
          <w:b/>
          <w:lang w:val="en-GB"/>
        </w:rPr>
        <w:t xml:space="preserve">female businesses </w:t>
      </w:r>
      <w:r>
        <w:rPr>
          <w:rFonts w:asciiTheme="minorHAnsi" w:hAnsiTheme="minorHAnsi"/>
          <w:lang w:val="en-GB"/>
        </w:rPr>
        <w:t xml:space="preserve">(more than 3,000 more during just the II trimester of 2017). </w:t>
      </w:r>
    </w:p>
    <w:p w:rsidR="00254E57" w:rsidRDefault="00254E57" w:rsidP="00254E57">
      <w:pPr>
        <w:spacing w:after="120"/>
        <w:rPr>
          <w:rFonts w:asciiTheme="minorHAnsi" w:hAnsiTheme="minorHAnsi"/>
          <w:lang w:val="en-GB"/>
        </w:rPr>
      </w:pPr>
      <w:r>
        <w:rPr>
          <w:rFonts w:asciiTheme="minorHAnsi" w:hAnsiTheme="minorHAnsi"/>
          <w:lang w:val="en-GB"/>
        </w:rPr>
        <w:t xml:space="preserve">A robust contribution to the dynamism signals of the productive system of the South is also coming from </w:t>
      </w:r>
      <w:r>
        <w:rPr>
          <w:rFonts w:asciiTheme="minorHAnsi" w:hAnsiTheme="minorHAnsi"/>
          <w:b/>
          <w:lang w:val="en-GB"/>
        </w:rPr>
        <w:t>export</w:t>
      </w:r>
      <w:r>
        <w:rPr>
          <w:rFonts w:asciiTheme="minorHAnsi" w:hAnsiTheme="minorHAnsi"/>
          <w:lang w:val="en-GB"/>
        </w:rPr>
        <w:t xml:space="preserve">: compared to the III trimester of the previous year, the export of the companies of the </w:t>
      </w:r>
      <w:proofErr w:type="spellStart"/>
      <w:r>
        <w:rPr>
          <w:rFonts w:asciiTheme="minorHAnsi" w:hAnsiTheme="minorHAnsi"/>
          <w:lang w:val="en-GB"/>
        </w:rPr>
        <w:t>Mezzogiorno</w:t>
      </w:r>
      <w:proofErr w:type="spellEnd"/>
      <w:r>
        <w:rPr>
          <w:rFonts w:asciiTheme="minorHAnsi" w:hAnsiTheme="minorHAnsi"/>
          <w:lang w:val="en-GB"/>
        </w:rPr>
        <w:t xml:space="preserve"> increased by 8.6%, with a superior pace than the Centre-North (+7.2%). With the exception of means of transportation and electronic apparel, the export of every product sector is increasing, with a particular intensity for refining products (+42.9%), chemical products (+21.6%) and pharmaceutical ones (+9.4%). </w:t>
      </w:r>
    </w:p>
    <w:p w:rsidR="00254E57" w:rsidRDefault="00254E57" w:rsidP="00254E57">
      <w:pPr>
        <w:spacing w:after="120"/>
        <w:rPr>
          <w:rFonts w:asciiTheme="minorHAnsi" w:hAnsiTheme="minorHAnsi"/>
          <w:lang w:val="en-GB"/>
        </w:rPr>
      </w:pPr>
      <w:r>
        <w:rPr>
          <w:rFonts w:asciiTheme="minorHAnsi" w:hAnsiTheme="minorHAnsi"/>
          <w:lang w:val="en-GB"/>
        </w:rPr>
        <w:t xml:space="preserve">A significant impact on the positive results of the entrepreneurial fabric of the South comes from the </w:t>
      </w:r>
      <w:r>
        <w:rPr>
          <w:rFonts w:asciiTheme="minorHAnsi" w:hAnsiTheme="minorHAnsi"/>
          <w:b/>
          <w:lang w:val="en-GB"/>
        </w:rPr>
        <w:t>tourism sector</w:t>
      </w:r>
      <w:r>
        <w:rPr>
          <w:rFonts w:asciiTheme="minorHAnsi" w:hAnsiTheme="minorHAnsi"/>
          <w:lang w:val="en-GB"/>
        </w:rPr>
        <w:t>, to which the Check Up dedicates a specific in-depth analysis. 2016, in fact, has seen an increase of arrivals and stays of tourists in every Southern region (+4.3%, 1 point and half higher than the Centre-North). The so-called “</w:t>
      </w:r>
      <w:r>
        <w:rPr>
          <w:rFonts w:asciiTheme="minorHAnsi" w:hAnsiTheme="minorHAnsi"/>
          <w:b/>
          <w:lang w:val="en-GB"/>
        </w:rPr>
        <w:t>tourist export</w:t>
      </w:r>
      <w:r>
        <w:rPr>
          <w:rFonts w:asciiTheme="minorHAnsi" w:hAnsiTheme="minorHAnsi"/>
          <w:lang w:val="en-GB"/>
        </w:rPr>
        <w:t xml:space="preserve">” has particularly increased, i.e. stays (+7.8%) and expenditure (+24%) of foreign tourists. At the basis of these positive results there are the </w:t>
      </w:r>
      <w:r>
        <w:rPr>
          <w:rFonts w:asciiTheme="minorHAnsi" w:hAnsiTheme="minorHAnsi"/>
          <w:b/>
          <w:lang w:val="en-GB"/>
        </w:rPr>
        <w:t>Southern tourism companies</w:t>
      </w:r>
      <w:r>
        <w:rPr>
          <w:rFonts w:asciiTheme="minorHAnsi" w:hAnsiTheme="minorHAnsi"/>
          <w:lang w:val="en-GB"/>
        </w:rPr>
        <w:t xml:space="preserve">, which, although they only represent 25% of the national total (20% of Italian accommodation companies), constitute a very steady sector, with more than 70 thousand employees and two billion and half of value added, whose profitability has been steadily improving since 2012, while debt and the related financial expenses are decreasing. The sector has a very high-quality offer (the hotels of the 4 – 5 stars segment are almost two times the national average) and important niches, such as </w:t>
      </w:r>
      <w:r>
        <w:rPr>
          <w:rFonts w:asciiTheme="minorHAnsi" w:hAnsiTheme="minorHAnsi"/>
          <w:b/>
          <w:lang w:val="en-GB"/>
        </w:rPr>
        <w:t>thermal industry</w:t>
      </w:r>
      <w:r>
        <w:rPr>
          <w:rFonts w:asciiTheme="minorHAnsi" w:hAnsiTheme="minorHAnsi"/>
          <w:lang w:val="en-GB"/>
        </w:rPr>
        <w:t>, which gathers ¼ of the income of the whole national thermal industry.</w:t>
      </w:r>
    </w:p>
    <w:p w:rsidR="00254E57" w:rsidRPr="003A77DF" w:rsidRDefault="00254E57" w:rsidP="00254E57">
      <w:pPr>
        <w:spacing w:after="120"/>
        <w:rPr>
          <w:rFonts w:asciiTheme="minorHAnsi" w:hAnsiTheme="minorHAnsi"/>
          <w:lang w:val="en-GB"/>
        </w:rPr>
      </w:pPr>
      <w:r>
        <w:rPr>
          <w:rFonts w:asciiTheme="minorHAnsi" w:hAnsiTheme="minorHAnsi"/>
          <w:lang w:val="en-GB"/>
        </w:rPr>
        <w:lastRenderedPageBreak/>
        <w:t xml:space="preserve">2017 is a moderately positive year as far as </w:t>
      </w:r>
      <w:r>
        <w:rPr>
          <w:rFonts w:asciiTheme="minorHAnsi" w:hAnsiTheme="minorHAnsi"/>
          <w:b/>
          <w:lang w:val="en-GB"/>
        </w:rPr>
        <w:t xml:space="preserve">employment </w:t>
      </w:r>
      <w:r>
        <w:rPr>
          <w:rFonts w:asciiTheme="minorHAnsi" w:hAnsiTheme="minorHAnsi"/>
          <w:lang w:val="en-GB"/>
        </w:rPr>
        <w:t xml:space="preserve">is concerned: also thanks to the support of the employment Bonus, the </w:t>
      </w:r>
      <w:proofErr w:type="spellStart"/>
      <w:r>
        <w:rPr>
          <w:rFonts w:asciiTheme="minorHAnsi" w:hAnsiTheme="minorHAnsi"/>
          <w:lang w:val="en-GB"/>
        </w:rPr>
        <w:t>Mezzogiorno</w:t>
      </w:r>
      <w:proofErr w:type="spellEnd"/>
      <w:r>
        <w:rPr>
          <w:rFonts w:asciiTheme="minorHAnsi" w:hAnsiTheme="minorHAnsi"/>
          <w:lang w:val="en-GB"/>
        </w:rPr>
        <w:t xml:space="preserve"> has recorded percentage increases of the employees higher than the ones of the Centre-North, with a growth, in absolute values, of over 108 thousand units in the III trimester of 2017 on the same period of the previous year. However, while they have handily surpassed the 6 million threshold, the employees of the South are still 230 thousand less than the pre-crisis peak. </w:t>
      </w:r>
    </w:p>
    <w:p w:rsidR="00254E57" w:rsidRPr="00100329" w:rsidRDefault="00254E57" w:rsidP="00254E57">
      <w:pPr>
        <w:spacing w:after="120"/>
        <w:rPr>
          <w:rFonts w:asciiTheme="minorHAnsi" w:hAnsiTheme="minorHAnsi"/>
          <w:lang w:val="en-GB"/>
        </w:rPr>
      </w:pPr>
      <w:r>
        <w:rPr>
          <w:rFonts w:asciiTheme="minorHAnsi" w:hAnsiTheme="minorHAnsi"/>
          <w:lang w:val="en-GB"/>
        </w:rPr>
        <w:t xml:space="preserve">The </w:t>
      </w:r>
      <w:r>
        <w:rPr>
          <w:rFonts w:asciiTheme="minorHAnsi" w:hAnsiTheme="minorHAnsi"/>
          <w:b/>
          <w:lang w:val="en-GB"/>
        </w:rPr>
        <w:t>quality and the efficiency of the educational system in the South</w:t>
      </w:r>
      <w:r>
        <w:rPr>
          <w:rFonts w:asciiTheme="minorHAnsi" w:hAnsiTheme="minorHAnsi"/>
          <w:lang w:val="en-GB"/>
        </w:rPr>
        <w:t>, though, is still one of the critical factors. In fact, the share of Southern young people that don’t study and don’t have a job is still very high (they are over 1 million and 800 thousand, almost 60% of the national total), and 200 thousand of them don’t possess a degree, which is a waste of educational investment. This causes a widening of the gap between those who take up the residence in the South and those who leave it, with a negative balance of over 62 thousand units.</w:t>
      </w:r>
    </w:p>
    <w:p w:rsidR="00254E57" w:rsidRDefault="00254E57" w:rsidP="00254E57">
      <w:pPr>
        <w:spacing w:after="120"/>
        <w:rPr>
          <w:rFonts w:asciiTheme="minorHAnsi" w:hAnsiTheme="minorHAnsi"/>
          <w:lang w:val="en-GB"/>
        </w:rPr>
      </w:pPr>
      <w:r>
        <w:rPr>
          <w:rFonts w:asciiTheme="minorHAnsi" w:hAnsiTheme="minorHAnsi"/>
          <w:lang w:val="en-GB"/>
        </w:rPr>
        <w:t xml:space="preserve">The </w:t>
      </w:r>
      <w:r>
        <w:rPr>
          <w:rFonts w:asciiTheme="minorHAnsi" w:hAnsiTheme="minorHAnsi"/>
          <w:b/>
          <w:lang w:val="en-GB"/>
        </w:rPr>
        <w:t xml:space="preserve">incidence of poverty </w:t>
      </w:r>
      <w:r>
        <w:rPr>
          <w:rFonts w:asciiTheme="minorHAnsi" w:hAnsiTheme="minorHAnsi"/>
          <w:lang w:val="en-GB"/>
        </w:rPr>
        <w:t>is decreasing, albeit slowly, with the exception of the 35-44 age range, a phenomenon that highlights the increasing difficulty of finding a job for those who are not so young anymore but are still far away from retirement age. The percentage of Southern citizens that consider their financial situation as very or partially satisfying is rising (+2%), but it’s still 11 points behind the national average.</w:t>
      </w:r>
    </w:p>
    <w:p w:rsidR="00254E57" w:rsidRPr="00100329" w:rsidRDefault="00254E57" w:rsidP="00254E57">
      <w:pPr>
        <w:spacing w:after="120"/>
        <w:rPr>
          <w:rFonts w:asciiTheme="minorHAnsi" w:hAnsiTheme="minorHAnsi"/>
          <w:lang w:val="en-GB"/>
        </w:rPr>
      </w:pPr>
      <w:r>
        <w:rPr>
          <w:rFonts w:asciiTheme="minorHAnsi" w:hAnsiTheme="minorHAnsi"/>
          <w:lang w:val="en-GB"/>
        </w:rPr>
        <w:t xml:space="preserve">The </w:t>
      </w:r>
      <w:r>
        <w:rPr>
          <w:rFonts w:asciiTheme="minorHAnsi" w:hAnsiTheme="minorHAnsi"/>
          <w:b/>
          <w:lang w:val="en-GB"/>
        </w:rPr>
        <w:t xml:space="preserve">economic situation </w:t>
      </w:r>
      <w:r>
        <w:rPr>
          <w:rFonts w:asciiTheme="minorHAnsi" w:hAnsiTheme="minorHAnsi"/>
          <w:lang w:val="en-GB"/>
        </w:rPr>
        <w:t xml:space="preserve">of Southern regions appears to have settled, therefore, on a new set of standards and to have improved slightly, which, however, is still not enough to effectively take down </w:t>
      </w:r>
      <w:r>
        <w:rPr>
          <w:rFonts w:asciiTheme="minorHAnsi" w:hAnsiTheme="minorHAnsi"/>
          <w:b/>
          <w:lang w:val="en-GB"/>
        </w:rPr>
        <w:t>the unease still pervading the majority of Southern society</w:t>
      </w:r>
      <w:r>
        <w:rPr>
          <w:rFonts w:asciiTheme="minorHAnsi" w:hAnsiTheme="minorHAnsi"/>
          <w:lang w:val="en-GB"/>
        </w:rPr>
        <w:t>, also because the economy of the South is hindered from reaching its true potential by several factors:</w:t>
      </w:r>
    </w:p>
    <w:p w:rsidR="00254E57" w:rsidRDefault="00254E57" w:rsidP="00254E57">
      <w:pPr>
        <w:pStyle w:val="Paragrafoelenco"/>
        <w:numPr>
          <w:ilvl w:val="0"/>
          <w:numId w:val="3"/>
        </w:numPr>
        <w:spacing w:after="120"/>
        <w:ind w:left="284" w:hanging="284"/>
        <w:rPr>
          <w:rFonts w:asciiTheme="minorHAnsi" w:hAnsiTheme="minorHAnsi"/>
          <w:lang w:val="en-GB"/>
        </w:rPr>
      </w:pPr>
      <w:r w:rsidRPr="00100329">
        <w:rPr>
          <w:rFonts w:asciiTheme="minorHAnsi" w:hAnsiTheme="minorHAnsi"/>
          <w:lang w:val="en-GB"/>
        </w:rPr>
        <w:t xml:space="preserve">a </w:t>
      </w:r>
      <w:r>
        <w:rPr>
          <w:rFonts w:asciiTheme="minorHAnsi" w:hAnsiTheme="minorHAnsi"/>
          <w:lang w:val="en-GB"/>
        </w:rPr>
        <w:t xml:space="preserve">post-crisis </w:t>
      </w:r>
      <w:r w:rsidRPr="00100329">
        <w:rPr>
          <w:rFonts w:asciiTheme="minorHAnsi" w:hAnsiTheme="minorHAnsi"/>
          <w:b/>
          <w:lang w:val="en-GB"/>
        </w:rPr>
        <w:t>composition of the Southern productive fabric</w:t>
      </w:r>
      <w:r>
        <w:rPr>
          <w:rFonts w:asciiTheme="minorHAnsi" w:hAnsiTheme="minorHAnsi"/>
          <w:b/>
          <w:lang w:val="en-GB"/>
        </w:rPr>
        <w:t xml:space="preserve"> </w:t>
      </w:r>
      <w:r>
        <w:rPr>
          <w:rFonts w:asciiTheme="minorHAnsi" w:hAnsiTheme="minorHAnsi"/>
          <w:lang w:val="en-GB"/>
        </w:rPr>
        <w:t>characterized by a high number of small and very small-sized companies, which contribute, despite themselves, at keeping productivity low;</w:t>
      </w:r>
    </w:p>
    <w:p w:rsidR="00254E57" w:rsidRDefault="00254E57" w:rsidP="00254E57">
      <w:pPr>
        <w:pStyle w:val="Paragrafoelenco"/>
        <w:numPr>
          <w:ilvl w:val="0"/>
          <w:numId w:val="3"/>
        </w:numPr>
        <w:spacing w:after="120"/>
        <w:ind w:left="284" w:hanging="284"/>
        <w:rPr>
          <w:rFonts w:asciiTheme="minorHAnsi" w:hAnsiTheme="minorHAnsi"/>
          <w:lang w:val="en-GB"/>
        </w:rPr>
      </w:pPr>
      <w:r>
        <w:rPr>
          <w:rFonts w:asciiTheme="minorHAnsi" w:hAnsiTheme="minorHAnsi"/>
          <w:b/>
          <w:lang w:val="en-GB"/>
        </w:rPr>
        <w:t>an extreme territorial diversification</w:t>
      </w:r>
      <w:r>
        <w:rPr>
          <w:rFonts w:asciiTheme="minorHAnsi" w:hAnsiTheme="minorHAnsi"/>
          <w:lang w:val="en-GB"/>
        </w:rPr>
        <w:t xml:space="preserve">, which shows the picture of a </w:t>
      </w:r>
      <w:proofErr w:type="spellStart"/>
      <w:r>
        <w:rPr>
          <w:rFonts w:asciiTheme="minorHAnsi" w:hAnsiTheme="minorHAnsi"/>
          <w:lang w:val="en-GB"/>
        </w:rPr>
        <w:t>Mezzogiorno</w:t>
      </w:r>
      <w:proofErr w:type="spellEnd"/>
      <w:r>
        <w:rPr>
          <w:rFonts w:asciiTheme="minorHAnsi" w:hAnsiTheme="minorHAnsi"/>
          <w:lang w:val="en-GB"/>
        </w:rPr>
        <w:t xml:space="preserve"> with different speeds:</w:t>
      </w:r>
    </w:p>
    <w:p w:rsidR="00254E57" w:rsidRPr="00100329" w:rsidRDefault="00254E57" w:rsidP="00254E57">
      <w:pPr>
        <w:pStyle w:val="Paragrafoelenco"/>
        <w:numPr>
          <w:ilvl w:val="0"/>
          <w:numId w:val="3"/>
        </w:numPr>
        <w:spacing w:after="120"/>
        <w:ind w:left="284" w:hanging="284"/>
        <w:rPr>
          <w:rFonts w:asciiTheme="minorHAnsi" w:hAnsiTheme="minorHAnsi"/>
          <w:lang w:val="en-GB"/>
        </w:rPr>
      </w:pPr>
      <w:r>
        <w:rPr>
          <w:rFonts w:asciiTheme="minorHAnsi" w:hAnsiTheme="minorHAnsi"/>
          <w:lang w:val="en-GB"/>
        </w:rPr>
        <w:t xml:space="preserve">the </w:t>
      </w:r>
      <w:r>
        <w:rPr>
          <w:rFonts w:asciiTheme="minorHAnsi" w:hAnsiTheme="minorHAnsi"/>
          <w:b/>
          <w:lang w:val="en-GB"/>
        </w:rPr>
        <w:t>low competitiveness of the territories</w:t>
      </w:r>
      <w:r>
        <w:rPr>
          <w:rFonts w:asciiTheme="minorHAnsi" w:hAnsiTheme="minorHAnsi"/>
          <w:lang w:val="en-GB"/>
        </w:rPr>
        <w:t xml:space="preserve">, as shown by the scores obtained by Southern regions when calculating many indicators composing the </w:t>
      </w:r>
      <w:r>
        <w:rPr>
          <w:rFonts w:asciiTheme="minorHAnsi" w:hAnsiTheme="minorHAnsi"/>
          <w:b/>
          <w:lang w:val="en-GB"/>
        </w:rPr>
        <w:t>regional Competitiveness Index of the European Commission</w:t>
      </w:r>
      <w:r>
        <w:rPr>
          <w:rFonts w:asciiTheme="minorHAnsi" w:hAnsiTheme="minorHAnsi"/>
          <w:lang w:val="en-GB"/>
        </w:rPr>
        <w:t>.</w:t>
      </w:r>
    </w:p>
    <w:p w:rsidR="00254E57" w:rsidRPr="00DE247C" w:rsidRDefault="00DE247C" w:rsidP="00DE247C">
      <w:pPr>
        <w:pStyle w:val="Paragrafoelenco"/>
        <w:numPr>
          <w:ilvl w:val="0"/>
          <w:numId w:val="3"/>
        </w:numPr>
        <w:spacing w:after="120"/>
        <w:ind w:left="284" w:hanging="284"/>
        <w:rPr>
          <w:rFonts w:asciiTheme="minorHAnsi" w:hAnsiTheme="minorHAnsi"/>
          <w:lang w:val="en-GB"/>
        </w:rPr>
      </w:pPr>
      <w:r w:rsidRPr="00F618D8">
        <w:rPr>
          <w:rFonts w:asciiTheme="minorHAnsi" w:hAnsiTheme="minorHAnsi"/>
          <w:b/>
          <w:lang w:val="en-GB"/>
        </w:rPr>
        <w:t>credit</w:t>
      </w:r>
      <w:r w:rsidR="00254E57" w:rsidRPr="00DE247C">
        <w:rPr>
          <w:rFonts w:asciiTheme="minorHAnsi" w:hAnsiTheme="minorHAnsi"/>
          <w:lang w:val="en-GB"/>
        </w:rPr>
        <w:t>: the credit conditions in the South are improving, but not for everyone, and while the credit offer has loosene</w:t>
      </w:r>
      <w:bookmarkStart w:id="0" w:name="_GoBack"/>
      <w:bookmarkEnd w:id="0"/>
      <w:r w:rsidR="00254E57" w:rsidRPr="00DE247C">
        <w:rPr>
          <w:rFonts w:asciiTheme="minorHAnsi" w:hAnsiTheme="minorHAnsi"/>
          <w:lang w:val="en-GB"/>
        </w:rPr>
        <w:t xml:space="preserve">d some, is still not able to meet the demand properly. </w:t>
      </w:r>
    </w:p>
    <w:p w:rsidR="00254E57" w:rsidRDefault="00254E57" w:rsidP="00254E57">
      <w:pPr>
        <w:pStyle w:val="Paragrafoelenco"/>
        <w:numPr>
          <w:ilvl w:val="0"/>
          <w:numId w:val="3"/>
        </w:numPr>
        <w:spacing w:after="120"/>
        <w:ind w:left="284" w:hanging="284"/>
        <w:rPr>
          <w:rFonts w:asciiTheme="minorHAnsi" w:hAnsiTheme="minorHAnsi"/>
          <w:lang w:val="en-GB"/>
        </w:rPr>
      </w:pPr>
      <w:r>
        <w:rPr>
          <w:rFonts w:asciiTheme="minorHAnsi" w:hAnsiTheme="minorHAnsi"/>
          <w:lang w:val="en-GB"/>
        </w:rPr>
        <w:t>t</w:t>
      </w:r>
      <w:r w:rsidRPr="001A1425">
        <w:rPr>
          <w:rFonts w:asciiTheme="minorHAnsi" w:hAnsiTheme="minorHAnsi"/>
          <w:lang w:val="en-GB"/>
        </w:rPr>
        <w:t xml:space="preserve">he insufficient contribution of </w:t>
      </w:r>
      <w:r w:rsidRPr="001A1425">
        <w:rPr>
          <w:rFonts w:asciiTheme="minorHAnsi" w:hAnsiTheme="minorHAnsi"/>
          <w:b/>
          <w:lang w:val="en-GB"/>
        </w:rPr>
        <w:t>the public expense for investment</w:t>
      </w:r>
      <w:r>
        <w:rPr>
          <w:rFonts w:asciiTheme="minorHAnsi" w:hAnsiTheme="minorHAnsi"/>
          <w:lang w:val="en-GB"/>
        </w:rPr>
        <w:t xml:space="preserve">, confirmed by the estimates of the Territorial Public Accounts for 2016, that highlight a new contraction of capital expenditure of the P.A. net of financial items, which reached its lowest point of the last 15 years, going from 15 to 13 billion, over 11 billion less than 2002. In particular, the halving of the expenditure for additional resources has affected this situation, due to the slow start of the new programming cycle of structural funds. The very recent CPT estimates on the performance of the first months of 2017, unfortunately, confirm this trend. </w:t>
      </w:r>
    </w:p>
    <w:p w:rsidR="00254E57" w:rsidRDefault="00254E57" w:rsidP="00254E57">
      <w:pPr>
        <w:spacing w:after="120"/>
        <w:rPr>
          <w:rFonts w:asciiTheme="minorHAnsi" w:hAnsiTheme="minorHAnsi" w:cs="Arial"/>
          <w:color w:val="000000" w:themeColor="text1"/>
          <w:lang w:val="en-GB"/>
        </w:rPr>
      </w:pPr>
      <w:r w:rsidRPr="001A1425">
        <w:rPr>
          <w:rFonts w:asciiTheme="minorHAnsi" w:hAnsiTheme="minorHAnsi" w:cs="Arial"/>
          <w:color w:val="000000" w:themeColor="text1"/>
          <w:lang w:val="en-GB"/>
        </w:rPr>
        <w:t xml:space="preserve">The </w:t>
      </w:r>
      <w:proofErr w:type="spellStart"/>
      <w:r w:rsidRPr="001A1425">
        <w:rPr>
          <w:rFonts w:asciiTheme="minorHAnsi" w:hAnsiTheme="minorHAnsi" w:cs="Arial"/>
          <w:b/>
          <w:color w:val="000000" w:themeColor="text1"/>
          <w:lang w:val="en-GB"/>
        </w:rPr>
        <w:t>Mezzogiorno</w:t>
      </w:r>
      <w:proofErr w:type="spellEnd"/>
      <w:r w:rsidRPr="001A1425">
        <w:rPr>
          <w:rFonts w:asciiTheme="minorHAnsi" w:hAnsiTheme="minorHAnsi" w:cs="Arial"/>
          <w:b/>
          <w:color w:val="000000" w:themeColor="text1"/>
          <w:lang w:val="en-GB"/>
        </w:rPr>
        <w:t xml:space="preserve"> continues to rise</w:t>
      </w:r>
      <w:r w:rsidRPr="001A1425">
        <w:rPr>
          <w:rFonts w:asciiTheme="minorHAnsi" w:hAnsiTheme="minorHAnsi" w:cs="Arial"/>
          <w:color w:val="000000" w:themeColor="text1"/>
          <w:lang w:val="en-GB"/>
        </w:rPr>
        <w:t>: the results achieved during the last two years and the estimates for the next one seem to confirm that the recovery o</w:t>
      </w:r>
      <w:r>
        <w:rPr>
          <w:rFonts w:asciiTheme="minorHAnsi" w:hAnsiTheme="minorHAnsi" w:cs="Arial"/>
          <w:color w:val="000000" w:themeColor="text1"/>
          <w:lang w:val="en-GB"/>
        </w:rPr>
        <w:t xml:space="preserve">f the economy of the South has steadily matched the one of the rest of the Country, despite the many halting factors. And the better results of many Southern regions, although they stem from different contexts, on the rest of the Country, seem to confirm that there is a real potential for decreasing the gaps. The conditions for a more robust recovery, happening as early as 2018, are also all in place, thanks to the recent provisions for the South and the actual start of the </w:t>
      </w:r>
      <w:r>
        <w:rPr>
          <w:rFonts w:asciiTheme="minorHAnsi" w:hAnsiTheme="minorHAnsi" w:cs="Arial"/>
          <w:b/>
          <w:color w:val="000000" w:themeColor="text1"/>
          <w:lang w:val="en-GB"/>
        </w:rPr>
        <w:t>2014-2020 Programmes by the Regions</w:t>
      </w:r>
      <w:r>
        <w:rPr>
          <w:rFonts w:asciiTheme="minorHAnsi" w:hAnsiTheme="minorHAnsi" w:cs="Arial"/>
          <w:color w:val="000000" w:themeColor="text1"/>
          <w:lang w:val="en-GB"/>
        </w:rPr>
        <w:t xml:space="preserve">, which are creating the conditions for real, advantageous investment in the </w:t>
      </w:r>
      <w:proofErr w:type="spellStart"/>
      <w:r>
        <w:rPr>
          <w:rFonts w:asciiTheme="minorHAnsi" w:hAnsiTheme="minorHAnsi" w:cs="Arial"/>
          <w:color w:val="000000" w:themeColor="text1"/>
          <w:lang w:val="en-GB"/>
        </w:rPr>
        <w:t>Mezzogiorno</w:t>
      </w:r>
      <w:proofErr w:type="spellEnd"/>
      <w:r>
        <w:rPr>
          <w:rFonts w:asciiTheme="minorHAnsi" w:hAnsiTheme="minorHAnsi" w:cs="Arial"/>
          <w:color w:val="000000" w:themeColor="text1"/>
          <w:lang w:val="en-GB"/>
        </w:rPr>
        <w:t>.</w:t>
      </w:r>
    </w:p>
    <w:p w:rsidR="00254E57" w:rsidRDefault="00254E57" w:rsidP="00254E57">
      <w:pPr>
        <w:spacing w:after="120"/>
        <w:rPr>
          <w:rFonts w:asciiTheme="minorHAnsi" w:hAnsiTheme="minorHAnsi" w:cs="Arial"/>
          <w:color w:val="000000" w:themeColor="text1"/>
          <w:lang w:val="en-GB"/>
        </w:rPr>
      </w:pPr>
      <w:r>
        <w:rPr>
          <w:rFonts w:asciiTheme="minorHAnsi" w:hAnsiTheme="minorHAnsi" w:cs="Arial"/>
          <w:b/>
          <w:color w:val="000000" w:themeColor="text1"/>
          <w:lang w:val="en-GB"/>
        </w:rPr>
        <w:t xml:space="preserve">The coincidence of favourable conditions and the entrepreneurial dynamism can turn 2018 into a pivotal year for the outlook of the economy of the </w:t>
      </w:r>
      <w:proofErr w:type="spellStart"/>
      <w:r>
        <w:rPr>
          <w:rFonts w:asciiTheme="minorHAnsi" w:hAnsiTheme="minorHAnsi" w:cs="Arial"/>
          <w:b/>
          <w:color w:val="000000" w:themeColor="text1"/>
          <w:lang w:val="en-GB"/>
        </w:rPr>
        <w:t>Mezzogiorno</w:t>
      </w:r>
      <w:proofErr w:type="spellEnd"/>
      <w:r>
        <w:rPr>
          <w:rFonts w:asciiTheme="minorHAnsi" w:hAnsiTheme="minorHAnsi" w:cs="Arial"/>
          <w:b/>
          <w:color w:val="000000" w:themeColor="text1"/>
          <w:lang w:val="en-GB"/>
        </w:rPr>
        <w:t>.</w:t>
      </w:r>
    </w:p>
    <w:p w:rsidR="00254E57" w:rsidRPr="001A1425" w:rsidRDefault="00254E57" w:rsidP="00254E57">
      <w:pPr>
        <w:spacing w:after="120"/>
        <w:rPr>
          <w:rFonts w:asciiTheme="minorHAnsi" w:hAnsiTheme="minorHAnsi" w:cs="Arial"/>
          <w:color w:val="000000" w:themeColor="text1"/>
          <w:lang w:val="en-GB"/>
        </w:rPr>
      </w:pPr>
      <w:r>
        <w:rPr>
          <w:rFonts w:asciiTheme="minorHAnsi" w:hAnsiTheme="minorHAnsi" w:cs="Arial"/>
          <w:color w:val="000000" w:themeColor="text1"/>
          <w:lang w:val="en-GB"/>
        </w:rPr>
        <w:t xml:space="preserve">There are </w:t>
      </w:r>
      <w:r>
        <w:rPr>
          <w:rFonts w:asciiTheme="minorHAnsi" w:hAnsiTheme="minorHAnsi" w:cs="Arial"/>
          <w:b/>
          <w:color w:val="000000" w:themeColor="text1"/>
          <w:lang w:val="en-GB"/>
        </w:rPr>
        <w:t xml:space="preserve">three contexts </w:t>
      </w:r>
      <w:r>
        <w:rPr>
          <w:rFonts w:asciiTheme="minorHAnsi" w:hAnsiTheme="minorHAnsi" w:cs="Arial"/>
          <w:color w:val="000000" w:themeColor="text1"/>
          <w:lang w:val="en-GB"/>
        </w:rPr>
        <w:t xml:space="preserve">that are capable of affecting, in one way or the other, this pivotal point: the support to private investment: the recovery of public investment: a steadily competitive context. And there is just one policy capable of favouring simultaneously these three key elements: </w:t>
      </w:r>
      <w:r>
        <w:rPr>
          <w:rFonts w:asciiTheme="minorHAnsi" w:hAnsiTheme="minorHAnsi" w:cs="Arial"/>
          <w:b/>
          <w:color w:val="000000" w:themeColor="text1"/>
          <w:lang w:val="en-GB"/>
        </w:rPr>
        <w:t>the cohesion policy, both from the Community and the nation, i.e. the main investment policy of the European Union</w:t>
      </w:r>
      <w:r>
        <w:rPr>
          <w:rFonts w:asciiTheme="minorHAnsi" w:hAnsiTheme="minorHAnsi" w:cs="Arial"/>
          <w:color w:val="000000" w:themeColor="text1"/>
          <w:lang w:val="en-GB"/>
        </w:rPr>
        <w:t xml:space="preserve">. And 2018 is the crucial year when the concrete effects of the interventions of the current programme are going to appear, and to set the basis for a post-2020 outlook that can be both stable and real.  </w:t>
      </w:r>
    </w:p>
    <w:p w:rsidR="00557122" w:rsidRPr="00CA45F6" w:rsidRDefault="00557122" w:rsidP="00557122">
      <w:pPr>
        <w:spacing w:after="120"/>
        <w:rPr>
          <w:rFonts w:asciiTheme="minorHAnsi" w:hAnsiTheme="minorHAnsi"/>
          <w:color w:val="000000"/>
          <w:lang w:val="en-GB"/>
        </w:rPr>
      </w:pPr>
    </w:p>
    <w:p w:rsidR="004A0A29" w:rsidRPr="00FF4B08" w:rsidRDefault="004A0A29" w:rsidP="004A0A29">
      <w:pPr>
        <w:spacing w:after="120"/>
        <w:rPr>
          <w:rFonts w:asciiTheme="minorHAnsi" w:hAnsiTheme="minorHAnsi"/>
          <w:lang w:val="en-GB"/>
        </w:rPr>
      </w:pPr>
      <w:r w:rsidRPr="00FF4B08">
        <w:rPr>
          <w:rFonts w:ascii="Cambria" w:hAnsi="Cambria"/>
          <w:b/>
          <w:lang w:val="en-GB"/>
        </w:rPr>
        <w:t xml:space="preserve">Synthetic index* of the main economic variables in the </w:t>
      </w:r>
      <w:proofErr w:type="spellStart"/>
      <w:r w:rsidRPr="00FF4B08">
        <w:rPr>
          <w:rFonts w:ascii="Cambria" w:hAnsi="Cambria"/>
          <w:b/>
          <w:lang w:val="en-GB"/>
        </w:rPr>
        <w:t>Mez</w:t>
      </w:r>
      <w:r>
        <w:rPr>
          <w:rFonts w:ascii="Cambria" w:hAnsi="Cambria"/>
          <w:b/>
          <w:lang w:val="en-GB"/>
        </w:rPr>
        <w:t>zogiorno</w:t>
      </w:r>
      <w:proofErr w:type="spellEnd"/>
      <w:r>
        <w:rPr>
          <w:rFonts w:ascii="Cambria" w:hAnsi="Cambria"/>
          <w:b/>
          <w:lang w:val="en-GB"/>
        </w:rPr>
        <w:t xml:space="preserve"> between 2007 and 2017</w:t>
      </w:r>
    </w:p>
    <w:p w:rsidR="00234F4D" w:rsidRPr="00C701BB" w:rsidRDefault="00D66F0A" w:rsidP="007E3DBC">
      <w:pPr>
        <w:spacing w:after="120"/>
        <w:jc w:val="center"/>
        <w:rPr>
          <w:rFonts w:ascii="Cambria" w:hAnsi="Cambria"/>
          <w:b/>
        </w:rPr>
      </w:pPr>
      <w:r>
        <w:rPr>
          <w:rFonts w:ascii="Cambria" w:hAnsi="Cambria"/>
          <w:b/>
          <w:noProof/>
          <w:lang w:eastAsia="it-IT"/>
        </w:rPr>
        <w:drawing>
          <wp:inline distT="0" distB="0" distL="0" distR="0" wp14:anchorId="61FC38B0">
            <wp:extent cx="5941709" cy="221650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8317" cy="2218971"/>
                    </a:xfrm>
                    <a:prstGeom prst="rect">
                      <a:avLst/>
                    </a:prstGeom>
                    <a:noFill/>
                  </pic:spPr>
                </pic:pic>
              </a:graphicData>
            </a:graphic>
          </wp:inline>
        </w:drawing>
      </w:r>
    </w:p>
    <w:p w:rsidR="004A0A29" w:rsidRPr="00FF4B08" w:rsidRDefault="004A0A29" w:rsidP="004A0A29">
      <w:pPr>
        <w:spacing w:after="120"/>
        <w:rPr>
          <w:rFonts w:asciiTheme="majorHAnsi" w:hAnsiTheme="majorHAnsi"/>
          <w:sz w:val="18"/>
          <w:szCs w:val="18"/>
          <w:lang w:val="en-GB"/>
        </w:rPr>
      </w:pPr>
      <w:r w:rsidRPr="00FF4B08">
        <w:rPr>
          <w:rFonts w:asciiTheme="majorHAnsi" w:hAnsiTheme="majorHAnsi"/>
          <w:sz w:val="18"/>
          <w:szCs w:val="18"/>
          <w:lang w:val="en-GB"/>
        </w:rPr>
        <w:t xml:space="preserve">*The composite index is calculated as the sum of the values </w:t>
      </w:r>
      <w:r>
        <w:rPr>
          <w:rFonts w:asciiTheme="majorHAnsi" w:hAnsiTheme="majorHAnsi"/>
          <w:sz w:val="18"/>
          <w:szCs w:val="18"/>
          <w:lang w:val="en-GB"/>
        </w:rPr>
        <w:t>index-linked up to 2007 of some important macroeconomic variable: GDP (</w:t>
      </w:r>
      <w:proofErr w:type="spellStart"/>
      <w:r>
        <w:rPr>
          <w:rFonts w:asciiTheme="majorHAnsi" w:hAnsiTheme="majorHAnsi"/>
          <w:sz w:val="18"/>
          <w:szCs w:val="18"/>
          <w:lang w:val="en-GB"/>
        </w:rPr>
        <w:t>chainlinked</w:t>
      </w:r>
      <w:proofErr w:type="spellEnd"/>
      <w:r>
        <w:rPr>
          <w:rFonts w:asciiTheme="majorHAnsi" w:hAnsiTheme="majorHAnsi"/>
          <w:sz w:val="18"/>
          <w:szCs w:val="18"/>
          <w:lang w:val="en-GB"/>
        </w:rPr>
        <w:t xml:space="preserve"> values, base year 2010), gross fixed Investment, active companies, Export. </w:t>
      </w:r>
    </w:p>
    <w:p w:rsidR="00AE18AD" w:rsidRPr="00D4748D" w:rsidRDefault="00D4748D" w:rsidP="007F4FFE">
      <w:pPr>
        <w:spacing w:after="120"/>
        <w:rPr>
          <w:rFonts w:asciiTheme="majorHAnsi" w:hAnsiTheme="majorHAnsi"/>
          <w:sz w:val="18"/>
          <w:szCs w:val="18"/>
          <w:lang w:val="en-US"/>
        </w:rPr>
      </w:pPr>
      <w:r>
        <w:rPr>
          <w:rFonts w:asciiTheme="majorHAnsi" w:hAnsiTheme="majorHAnsi"/>
          <w:sz w:val="18"/>
          <w:szCs w:val="18"/>
          <w:lang w:val="en-US"/>
        </w:rPr>
        <w:t>Source</w:t>
      </w:r>
      <w:r w:rsidR="00AE18AD" w:rsidRPr="00D4748D">
        <w:rPr>
          <w:rFonts w:asciiTheme="majorHAnsi" w:hAnsiTheme="majorHAnsi"/>
          <w:sz w:val="18"/>
          <w:szCs w:val="18"/>
          <w:lang w:val="en-US"/>
        </w:rPr>
        <w:t xml:space="preserve">: Confindustria </w:t>
      </w:r>
      <w:r w:rsidRPr="00D4748D">
        <w:rPr>
          <w:rFonts w:asciiTheme="majorHAnsi" w:hAnsiTheme="majorHAnsi"/>
          <w:sz w:val="18"/>
          <w:szCs w:val="18"/>
          <w:lang w:val="en-US"/>
        </w:rPr>
        <w:t>and</w:t>
      </w:r>
      <w:r w:rsidR="00AE18AD" w:rsidRPr="00D4748D">
        <w:rPr>
          <w:rFonts w:asciiTheme="majorHAnsi" w:hAnsiTheme="majorHAnsi"/>
          <w:sz w:val="18"/>
          <w:szCs w:val="18"/>
          <w:lang w:val="en-US"/>
        </w:rPr>
        <w:t xml:space="preserve"> SRM </w:t>
      </w:r>
      <w:r w:rsidRPr="00D4748D">
        <w:rPr>
          <w:rFonts w:asciiTheme="majorHAnsi" w:hAnsiTheme="majorHAnsi"/>
          <w:sz w:val="18"/>
          <w:szCs w:val="18"/>
          <w:lang w:val="en-US"/>
        </w:rPr>
        <w:t>elaborations on various data</w:t>
      </w:r>
    </w:p>
    <w:p w:rsidR="00AE18AD" w:rsidRPr="00D4748D" w:rsidRDefault="00AE18AD" w:rsidP="007F4FFE">
      <w:pPr>
        <w:spacing w:after="120"/>
        <w:rPr>
          <w:rFonts w:ascii="Helvetica" w:hAnsi="Helvetica"/>
          <w:lang w:val="en-US"/>
        </w:rPr>
      </w:pPr>
    </w:p>
    <w:p w:rsidR="00985E0A" w:rsidRPr="00ED4C07" w:rsidRDefault="00985E0A" w:rsidP="00985E0A">
      <w:pPr>
        <w:spacing w:after="120"/>
        <w:rPr>
          <w:rFonts w:asciiTheme="majorHAnsi" w:hAnsiTheme="majorHAnsi"/>
          <w:b/>
          <w:lang w:val="en-GB"/>
        </w:rPr>
      </w:pPr>
      <w:r w:rsidRPr="00ED4C07">
        <w:rPr>
          <w:rFonts w:asciiTheme="majorHAnsi" w:hAnsiTheme="majorHAnsi"/>
          <w:b/>
          <w:lang w:val="en-GB"/>
        </w:rPr>
        <w:t>Composition of the Synthetic Index*</w:t>
      </w:r>
    </w:p>
    <w:p w:rsidR="007E3DBC" w:rsidRPr="00C701BB" w:rsidRDefault="00D66F0A" w:rsidP="007F4FFE">
      <w:pPr>
        <w:spacing w:after="120"/>
        <w:rPr>
          <w:rFonts w:asciiTheme="majorHAnsi" w:hAnsiTheme="majorHAnsi"/>
          <w:b/>
        </w:rPr>
      </w:pPr>
      <w:r>
        <w:rPr>
          <w:rFonts w:asciiTheme="majorHAnsi" w:hAnsiTheme="majorHAnsi"/>
          <w:b/>
          <w:noProof/>
          <w:lang w:eastAsia="it-IT"/>
        </w:rPr>
        <w:drawing>
          <wp:inline distT="0" distB="0" distL="0" distR="0" wp14:anchorId="5428A365">
            <wp:extent cx="6216511" cy="2213457"/>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18927" cy="2214317"/>
                    </a:xfrm>
                    <a:prstGeom prst="rect">
                      <a:avLst/>
                    </a:prstGeom>
                    <a:noFill/>
                  </pic:spPr>
                </pic:pic>
              </a:graphicData>
            </a:graphic>
          </wp:inline>
        </w:drawing>
      </w:r>
    </w:p>
    <w:p w:rsidR="00985E0A" w:rsidRPr="00ED4C07" w:rsidRDefault="00985E0A" w:rsidP="00985E0A">
      <w:pPr>
        <w:spacing w:after="120"/>
        <w:rPr>
          <w:rFonts w:asciiTheme="majorHAnsi" w:hAnsiTheme="majorHAnsi"/>
          <w:sz w:val="18"/>
          <w:szCs w:val="18"/>
          <w:lang w:val="en-GB"/>
        </w:rPr>
      </w:pPr>
      <w:r w:rsidRPr="00ED4C07">
        <w:rPr>
          <w:rFonts w:asciiTheme="majorHAnsi" w:hAnsiTheme="majorHAnsi"/>
          <w:sz w:val="18"/>
          <w:szCs w:val="18"/>
          <w:lang w:val="en-GB"/>
        </w:rPr>
        <w:t xml:space="preserve">*Estimated values for investment </w:t>
      </w:r>
    </w:p>
    <w:p w:rsidR="00D4748D" w:rsidRPr="00F50041" w:rsidRDefault="00D4748D" w:rsidP="00D4748D">
      <w:pPr>
        <w:spacing w:after="120"/>
        <w:rPr>
          <w:rFonts w:asciiTheme="majorHAnsi" w:hAnsiTheme="majorHAnsi"/>
          <w:sz w:val="18"/>
          <w:szCs w:val="18"/>
          <w:lang w:val="en-US"/>
        </w:rPr>
      </w:pPr>
      <w:r w:rsidRPr="00F50041">
        <w:rPr>
          <w:rFonts w:asciiTheme="majorHAnsi" w:hAnsiTheme="majorHAnsi"/>
          <w:sz w:val="18"/>
          <w:szCs w:val="18"/>
          <w:lang w:val="en-US"/>
        </w:rPr>
        <w:t>Source: Confindustria and SRM elaborations on various data</w:t>
      </w:r>
    </w:p>
    <w:p w:rsidR="00AE18AD" w:rsidRPr="00F50041" w:rsidRDefault="00AE18AD" w:rsidP="007F4FFE">
      <w:pPr>
        <w:spacing w:after="120"/>
        <w:rPr>
          <w:rFonts w:ascii="Helvetica" w:hAnsi="Helvetica"/>
          <w:sz w:val="18"/>
          <w:szCs w:val="18"/>
          <w:lang w:val="en-US"/>
        </w:rPr>
      </w:pPr>
    </w:p>
    <w:p w:rsidR="00F50041" w:rsidRPr="00ED4C07" w:rsidRDefault="00F50041" w:rsidP="00F50041">
      <w:pPr>
        <w:spacing w:after="120"/>
        <w:rPr>
          <w:rFonts w:ascii="Cambria" w:hAnsi="Cambria"/>
          <w:b/>
          <w:lang w:val="en-GB"/>
        </w:rPr>
      </w:pPr>
      <w:r w:rsidRPr="00ED4C07">
        <w:rPr>
          <w:rFonts w:ascii="Cambria" w:hAnsi="Cambria"/>
          <w:b/>
          <w:lang w:val="en-GB"/>
        </w:rPr>
        <w:t xml:space="preserve">Consensus on GDP forecasts for 2017 and 2018 by </w:t>
      </w:r>
      <w:proofErr w:type="spellStart"/>
      <w:r w:rsidRPr="00ED4C07">
        <w:rPr>
          <w:rFonts w:ascii="Cambria" w:hAnsi="Cambria"/>
          <w:b/>
          <w:lang w:val="en-GB"/>
        </w:rPr>
        <w:t>macroarea</w:t>
      </w:r>
      <w:proofErr w:type="spellEnd"/>
      <w:r w:rsidRPr="00ED4C07">
        <w:rPr>
          <w:rFonts w:ascii="Cambria" w:hAnsi="Cambria"/>
          <w:b/>
          <w:lang w:val="en-GB"/>
        </w:rPr>
        <w:t xml:space="preserve"> (percentage values) </w:t>
      </w:r>
    </w:p>
    <w:tbl>
      <w:tblPr>
        <w:tblW w:w="5000" w:type="pct"/>
        <w:tblCellMar>
          <w:left w:w="70" w:type="dxa"/>
          <w:right w:w="70" w:type="dxa"/>
        </w:tblCellMar>
        <w:tblLook w:val="04A0" w:firstRow="1" w:lastRow="0" w:firstColumn="1" w:lastColumn="0" w:noHBand="0" w:noVBand="1"/>
      </w:tblPr>
      <w:tblGrid>
        <w:gridCol w:w="3935"/>
        <w:gridCol w:w="2665"/>
        <w:gridCol w:w="3178"/>
      </w:tblGrid>
      <w:tr w:rsidR="00D66F0A" w:rsidRPr="00D66F0A" w:rsidTr="00D66F0A">
        <w:trPr>
          <w:trHeight w:val="300"/>
        </w:trPr>
        <w:tc>
          <w:tcPr>
            <w:tcW w:w="2012" w:type="pct"/>
            <w:tcBorders>
              <w:top w:val="nil"/>
              <w:left w:val="nil"/>
              <w:bottom w:val="nil"/>
              <w:right w:val="nil"/>
            </w:tcBorders>
            <w:shd w:val="clear" w:color="000000" w:fill="215868"/>
            <w:noWrap/>
            <w:vAlign w:val="bottom"/>
            <w:hideMark/>
          </w:tcPr>
          <w:p w:rsidR="00D66F0A" w:rsidRPr="00F50041" w:rsidRDefault="00D66F0A" w:rsidP="00D66F0A">
            <w:pPr>
              <w:jc w:val="left"/>
              <w:rPr>
                <w:rFonts w:eastAsia="Times New Roman" w:cs="Calibri"/>
                <w:color w:val="000000"/>
                <w:lang w:val="en-US" w:eastAsia="it-IT"/>
              </w:rPr>
            </w:pPr>
            <w:r w:rsidRPr="00F50041">
              <w:rPr>
                <w:rFonts w:eastAsia="Times New Roman" w:cs="Calibri"/>
                <w:color w:val="000000"/>
                <w:lang w:val="en-US" w:eastAsia="it-IT"/>
              </w:rPr>
              <w:t> </w:t>
            </w:r>
          </w:p>
        </w:tc>
        <w:tc>
          <w:tcPr>
            <w:tcW w:w="1363" w:type="pct"/>
            <w:tcBorders>
              <w:top w:val="nil"/>
              <w:left w:val="nil"/>
              <w:bottom w:val="nil"/>
              <w:right w:val="nil"/>
            </w:tcBorders>
            <w:shd w:val="clear" w:color="000000" w:fill="215868"/>
            <w:noWrap/>
            <w:vAlign w:val="bottom"/>
            <w:hideMark/>
          </w:tcPr>
          <w:p w:rsidR="00D66F0A" w:rsidRPr="00D66F0A" w:rsidRDefault="00D66F0A" w:rsidP="00D66F0A">
            <w:pPr>
              <w:jc w:val="center"/>
              <w:rPr>
                <w:rFonts w:eastAsia="Times New Roman" w:cs="Calibri"/>
                <w:color w:val="FFFFFF"/>
                <w:sz w:val="20"/>
                <w:szCs w:val="20"/>
                <w:lang w:eastAsia="it-IT"/>
              </w:rPr>
            </w:pPr>
            <w:r w:rsidRPr="00D66F0A">
              <w:rPr>
                <w:rFonts w:eastAsia="Times New Roman" w:cs="Calibri"/>
                <w:color w:val="FFFFFF"/>
                <w:sz w:val="20"/>
                <w:szCs w:val="20"/>
                <w:lang w:eastAsia="it-IT"/>
              </w:rPr>
              <w:t>2017</w:t>
            </w:r>
          </w:p>
        </w:tc>
        <w:tc>
          <w:tcPr>
            <w:tcW w:w="1625" w:type="pct"/>
            <w:tcBorders>
              <w:top w:val="nil"/>
              <w:left w:val="nil"/>
              <w:bottom w:val="nil"/>
              <w:right w:val="nil"/>
            </w:tcBorders>
            <w:shd w:val="clear" w:color="000000" w:fill="215868"/>
            <w:noWrap/>
            <w:vAlign w:val="bottom"/>
            <w:hideMark/>
          </w:tcPr>
          <w:p w:rsidR="00D66F0A" w:rsidRPr="00D66F0A" w:rsidRDefault="00D66F0A" w:rsidP="00D66F0A">
            <w:pPr>
              <w:jc w:val="center"/>
              <w:rPr>
                <w:rFonts w:eastAsia="Times New Roman" w:cs="Calibri"/>
                <w:color w:val="FFFFFF"/>
                <w:sz w:val="20"/>
                <w:szCs w:val="20"/>
                <w:lang w:eastAsia="it-IT"/>
              </w:rPr>
            </w:pPr>
            <w:r w:rsidRPr="00D66F0A">
              <w:rPr>
                <w:rFonts w:eastAsia="Times New Roman" w:cs="Calibri"/>
                <w:color w:val="FFFFFF"/>
                <w:sz w:val="20"/>
                <w:szCs w:val="20"/>
                <w:lang w:eastAsia="it-IT"/>
              </w:rPr>
              <w:t>2018</w:t>
            </w:r>
          </w:p>
        </w:tc>
      </w:tr>
      <w:tr w:rsidR="00D66F0A" w:rsidRPr="00D66F0A" w:rsidTr="00D66F0A">
        <w:trPr>
          <w:trHeight w:val="300"/>
        </w:trPr>
        <w:tc>
          <w:tcPr>
            <w:tcW w:w="2012" w:type="pct"/>
            <w:tcBorders>
              <w:top w:val="nil"/>
              <w:left w:val="nil"/>
              <w:bottom w:val="nil"/>
              <w:right w:val="nil"/>
            </w:tcBorders>
            <w:shd w:val="clear" w:color="auto" w:fill="auto"/>
            <w:noWrap/>
            <w:vAlign w:val="bottom"/>
            <w:hideMark/>
          </w:tcPr>
          <w:p w:rsidR="00D66F0A" w:rsidRPr="00D66F0A" w:rsidRDefault="00D66F0A" w:rsidP="00D66F0A">
            <w:pPr>
              <w:jc w:val="left"/>
              <w:rPr>
                <w:rFonts w:eastAsia="Times New Roman" w:cs="Calibri"/>
                <w:color w:val="000000"/>
                <w:sz w:val="20"/>
                <w:szCs w:val="20"/>
                <w:lang w:eastAsia="it-IT"/>
              </w:rPr>
            </w:pPr>
            <w:r w:rsidRPr="00D66F0A">
              <w:rPr>
                <w:rFonts w:eastAsia="Times New Roman" w:cs="Calibri"/>
                <w:color w:val="000000"/>
                <w:sz w:val="20"/>
                <w:szCs w:val="20"/>
                <w:lang w:eastAsia="it-IT"/>
              </w:rPr>
              <w:t>North West</w:t>
            </w:r>
          </w:p>
        </w:tc>
        <w:tc>
          <w:tcPr>
            <w:tcW w:w="1363" w:type="pct"/>
            <w:tcBorders>
              <w:top w:val="nil"/>
              <w:left w:val="nil"/>
              <w:bottom w:val="nil"/>
              <w:right w:val="nil"/>
            </w:tcBorders>
            <w:shd w:val="clear" w:color="auto" w:fill="auto"/>
            <w:noWrap/>
            <w:vAlign w:val="bottom"/>
            <w:hideMark/>
          </w:tcPr>
          <w:p w:rsidR="00D66F0A" w:rsidRPr="00D66F0A" w:rsidRDefault="00D66F0A" w:rsidP="00D66F0A">
            <w:pPr>
              <w:jc w:val="center"/>
              <w:rPr>
                <w:rFonts w:eastAsia="Times New Roman" w:cs="Calibri"/>
                <w:color w:val="000000"/>
                <w:sz w:val="20"/>
                <w:szCs w:val="20"/>
                <w:lang w:eastAsia="it-IT"/>
              </w:rPr>
            </w:pPr>
            <w:r w:rsidRPr="00D66F0A">
              <w:rPr>
                <w:rFonts w:eastAsia="Times New Roman" w:cs="Calibri"/>
                <w:color w:val="000000"/>
                <w:sz w:val="20"/>
                <w:szCs w:val="20"/>
                <w:lang w:eastAsia="it-IT"/>
              </w:rPr>
              <w:t>1.4</w:t>
            </w:r>
          </w:p>
        </w:tc>
        <w:tc>
          <w:tcPr>
            <w:tcW w:w="1625" w:type="pct"/>
            <w:tcBorders>
              <w:top w:val="nil"/>
              <w:left w:val="nil"/>
              <w:bottom w:val="nil"/>
              <w:right w:val="nil"/>
            </w:tcBorders>
            <w:shd w:val="clear" w:color="auto" w:fill="auto"/>
            <w:noWrap/>
            <w:vAlign w:val="bottom"/>
            <w:hideMark/>
          </w:tcPr>
          <w:p w:rsidR="00D66F0A" w:rsidRPr="00D66F0A" w:rsidRDefault="00D66F0A" w:rsidP="00D66F0A">
            <w:pPr>
              <w:jc w:val="center"/>
              <w:rPr>
                <w:rFonts w:eastAsia="Times New Roman" w:cs="Calibri"/>
                <w:color w:val="000000"/>
                <w:sz w:val="20"/>
                <w:szCs w:val="20"/>
                <w:lang w:eastAsia="it-IT"/>
              </w:rPr>
            </w:pPr>
            <w:r w:rsidRPr="00D66F0A">
              <w:rPr>
                <w:rFonts w:eastAsia="Times New Roman" w:cs="Calibri"/>
                <w:color w:val="000000"/>
                <w:sz w:val="20"/>
                <w:szCs w:val="20"/>
                <w:lang w:eastAsia="it-IT"/>
              </w:rPr>
              <w:t>1.4</w:t>
            </w:r>
          </w:p>
        </w:tc>
      </w:tr>
      <w:tr w:rsidR="00D66F0A" w:rsidRPr="00D66F0A" w:rsidTr="00D66F0A">
        <w:trPr>
          <w:trHeight w:val="300"/>
        </w:trPr>
        <w:tc>
          <w:tcPr>
            <w:tcW w:w="2012" w:type="pct"/>
            <w:tcBorders>
              <w:top w:val="nil"/>
              <w:left w:val="nil"/>
              <w:bottom w:val="nil"/>
              <w:right w:val="nil"/>
            </w:tcBorders>
            <w:shd w:val="clear" w:color="auto" w:fill="auto"/>
            <w:noWrap/>
            <w:vAlign w:val="bottom"/>
            <w:hideMark/>
          </w:tcPr>
          <w:p w:rsidR="00D66F0A" w:rsidRPr="00D66F0A" w:rsidRDefault="00D66F0A" w:rsidP="00D66F0A">
            <w:pPr>
              <w:jc w:val="left"/>
              <w:rPr>
                <w:rFonts w:eastAsia="Times New Roman" w:cs="Calibri"/>
                <w:color w:val="000000"/>
                <w:sz w:val="20"/>
                <w:szCs w:val="20"/>
                <w:lang w:eastAsia="it-IT"/>
              </w:rPr>
            </w:pPr>
            <w:r w:rsidRPr="00D66F0A">
              <w:rPr>
                <w:rFonts w:eastAsia="Times New Roman" w:cs="Calibri"/>
                <w:color w:val="000000"/>
                <w:sz w:val="20"/>
                <w:szCs w:val="20"/>
                <w:lang w:eastAsia="it-IT"/>
              </w:rPr>
              <w:t>North East</w:t>
            </w:r>
          </w:p>
        </w:tc>
        <w:tc>
          <w:tcPr>
            <w:tcW w:w="1363" w:type="pct"/>
            <w:tcBorders>
              <w:top w:val="nil"/>
              <w:left w:val="nil"/>
              <w:bottom w:val="nil"/>
              <w:right w:val="nil"/>
            </w:tcBorders>
            <w:shd w:val="clear" w:color="auto" w:fill="auto"/>
            <w:noWrap/>
            <w:vAlign w:val="bottom"/>
            <w:hideMark/>
          </w:tcPr>
          <w:p w:rsidR="00D66F0A" w:rsidRPr="00D66F0A" w:rsidRDefault="00D66F0A" w:rsidP="00D66F0A">
            <w:pPr>
              <w:jc w:val="center"/>
              <w:rPr>
                <w:rFonts w:eastAsia="Times New Roman" w:cs="Calibri"/>
                <w:color w:val="000000"/>
                <w:sz w:val="20"/>
                <w:szCs w:val="20"/>
                <w:lang w:eastAsia="it-IT"/>
              </w:rPr>
            </w:pPr>
            <w:r w:rsidRPr="00D66F0A">
              <w:rPr>
                <w:rFonts w:eastAsia="Times New Roman" w:cs="Calibri"/>
                <w:color w:val="000000"/>
                <w:sz w:val="20"/>
                <w:szCs w:val="20"/>
                <w:lang w:eastAsia="it-IT"/>
              </w:rPr>
              <w:t>1.5</w:t>
            </w:r>
          </w:p>
        </w:tc>
        <w:tc>
          <w:tcPr>
            <w:tcW w:w="1625" w:type="pct"/>
            <w:tcBorders>
              <w:top w:val="nil"/>
              <w:left w:val="nil"/>
              <w:bottom w:val="nil"/>
              <w:right w:val="nil"/>
            </w:tcBorders>
            <w:shd w:val="clear" w:color="auto" w:fill="auto"/>
            <w:noWrap/>
            <w:vAlign w:val="bottom"/>
            <w:hideMark/>
          </w:tcPr>
          <w:p w:rsidR="00D66F0A" w:rsidRPr="00D66F0A" w:rsidRDefault="00D66F0A" w:rsidP="00D66F0A">
            <w:pPr>
              <w:jc w:val="center"/>
              <w:rPr>
                <w:rFonts w:eastAsia="Times New Roman" w:cs="Calibri"/>
                <w:color w:val="000000"/>
                <w:sz w:val="20"/>
                <w:szCs w:val="20"/>
                <w:lang w:eastAsia="it-IT"/>
              </w:rPr>
            </w:pPr>
            <w:r w:rsidRPr="00D66F0A">
              <w:rPr>
                <w:rFonts w:eastAsia="Times New Roman" w:cs="Calibri"/>
                <w:color w:val="000000"/>
                <w:sz w:val="20"/>
                <w:szCs w:val="20"/>
                <w:lang w:eastAsia="it-IT"/>
              </w:rPr>
              <w:t>1.5</w:t>
            </w:r>
          </w:p>
        </w:tc>
      </w:tr>
      <w:tr w:rsidR="00D66F0A" w:rsidRPr="00D66F0A" w:rsidTr="00D66F0A">
        <w:trPr>
          <w:trHeight w:val="315"/>
        </w:trPr>
        <w:tc>
          <w:tcPr>
            <w:tcW w:w="2012" w:type="pct"/>
            <w:tcBorders>
              <w:top w:val="nil"/>
              <w:left w:val="nil"/>
              <w:bottom w:val="dashed" w:sz="8" w:space="0" w:color="215868"/>
              <w:right w:val="nil"/>
            </w:tcBorders>
            <w:shd w:val="clear" w:color="auto" w:fill="auto"/>
            <w:noWrap/>
            <w:vAlign w:val="bottom"/>
            <w:hideMark/>
          </w:tcPr>
          <w:p w:rsidR="00D66F0A" w:rsidRPr="00D66F0A" w:rsidRDefault="00D66F0A" w:rsidP="00D66F0A">
            <w:pPr>
              <w:jc w:val="left"/>
              <w:rPr>
                <w:rFonts w:eastAsia="Times New Roman" w:cs="Calibri"/>
                <w:color w:val="000000"/>
                <w:sz w:val="20"/>
                <w:szCs w:val="20"/>
                <w:lang w:eastAsia="it-IT"/>
              </w:rPr>
            </w:pPr>
            <w:r w:rsidRPr="00D66F0A">
              <w:rPr>
                <w:rFonts w:eastAsia="Times New Roman" w:cs="Calibri"/>
                <w:color w:val="000000"/>
                <w:sz w:val="20"/>
                <w:szCs w:val="20"/>
                <w:lang w:eastAsia="it-IT"/>
              </w:rPr>
              <w:t>Central Italy</w:t>
            </w:r>
          </w:p>
        </w:tc>
        <w:tc>
          <w:tcPr>
            <w:tcW w:w="1363" w:type="pct"/>
            <w:tcBorders>
              <w:top w:val="nil"/>
              <w:left w:val="nil"/>
              <w:bottom w:val="dashed" w:sz="8" w:space="0" w:color="215868"/>
              <w:right w:val="nil"/>
            </w:tcBorders>
            <w:shd w:val="clear" w:color="auto" w:fill="auto"/>
            <w:noWrap/>
            <w:vAlign w:val="bottom"/>
            <w:hideMark/>
          </w:tcPr>
          <w:p w:rsidR="00D66F0A" w:rsidRPr="00D66F0A" w:rsidRDefault="00D66F0A" w:rsidP="00D66F0A">
            <w:pPr>
              <w:jc w:val="center"/>
              <w:rPr>
                <w:rFonts w:eastAsia="Times New Roman" w:cs="Calibri"/>
                <w:color w:val="000000"/>
                <w:sz w:val="20"/>
                <w:szCs w:val="20"/>
                <w:lang w:eastAsia="it-IT"/>
              </w:rPr>
            </w:pPr>
            <w:r w:rsidRPr="00D66F0A">
              <w:rPr>
                <w:rFonts w:eastAsia="Times New Roman" w:cs="Calibri"/>
                <w:color w:val="000000"/>
                <w:sz w:val="20"/>
                <w:szCs w:val="20"/>
                <w:lang w:eastAsia="it-IT"/>
              </w:rPr>
              <w:t>1.4</w:t>
            </w:r>
          </w:p>
        </w:tc>
        <w:tc>
          <w:tcPr>
            <w:tcW w:w="1625" w:type="pct"/>
            <w:tcBorders>
              <w:top w:val="nil"/>
              <w:left w:val="nil"/>
              <w:bottom w:val="dashed" w:sz="8" w:space="0" w:color="215868"/>
              <w:right w:val="nil"/>
            </w:tcBorders>
            <w:shd w:val="clear" w:color="auto" w:fill="auto"/>
            <w:noWrap/>
            <w:vAlign w:val="bottom"/>
            <w:hideMark/>
          </w:tcPr>
          <w:p w:rsidR="00D66F0A" w:rsidRPr="00D66F0A" w:rsidRDefault="00D66F0A" w:rsidP="00D66F0A">
            <w:pPr>
              <w:jc w:val="center"/>
              <w:rPr>
                <w:rFonts w:eastAsia="Times New Roman" w:cs="Calibri"/>
                <w:color w:val="000000"/>
                <w:sz w:val="20"/>
                <w:szCs w:val="20"/>
                <w:lang w:eastAsia="it-IT"/>
              </w:rPr>
            </w:pPr>
            <w:r w:rsidRPr="00D66F0A">
              <w:rPr>
                <w:rFonts w:eastAsia="Times New Roman" w:cs="Calibri"/>
                <w:color w:val="000000"/>
                <w:sz w:val="20"/>
                <w:szCs w:val="20"/>
                <w:lang w:eastAsia="it-IT"/>
              </w:rPr>
              <w:t>1.2</w:t>
            </w:r>
          </w:p>
        </w:tc>
      </w:tr>
      <w:tr w:rsidR="00D66F0A" w:rsidRPr="00D66F0A" w:rsidTr="00D66F0A">
        <w:trPr>
          <w:trHeight w:val="315"/>
        </w:trPr>
        <w:tc>
          <w:tcPr>
            <w:tcW w:w="2012" w:type="pct"/>
            <w:tcBorders>
              <w:top w:val="nil"/>
              <w:left w:val="nil"/>
              <w:bottom w:val="dashed" w:sz="8" w:space="0" w:color="215868"/>
              <w:right w:val="nil"/>
            </w:tcBorders>
            <w:shd w:val="clear" w:color="auto" w:fill="auto"/>
            <w:noWrap/>
            <w:vAlign w:val="bottom"/>
            <w:hideMark/>
          </w:tcPr>
          <w:p w:rsidR="00D66F0A" w:rsidRPr="00D66F0A" w:rsidRDefault="00D66F0A" w:rsidP="00D66F0A">
            <w:pPr>
              <w:jc w:val="left"/>
              <w:rPr>
                <w:rFonts w:eastAsia="Times New Roman" w:cs="Calibri"/>
                <w:b/>
                <w:bCs/>
                <w:color w:val="215868"/>
                <w:sz w:val="20"/>
                <w:szCs w:val="20"/>
                <w:lang w:eastAsia="it-IT"/>
              </w:rPr>
            </w:pPr>
            <w:r w:rsidRPr="00D66F0A">
              <w:rPr>
                <w:rFonts w:eastAsia="Times New Roman" w:cs="Calibri"/>
                <w:b/>
                <w:bCs/>
                <w:color w:val="215868"/>
                <w:sz w:val="20"/>
                <w:szCs w:val="20"/>
                <w:lang w:eastAsia="it-IT"/>
              </w:rPr>
              <w:t>Southern Italy</w:t>
            </w:r>
          </w:p>
        </w:tc>
        <w:tc>
          <w:tcPr>
            <w:tcW w:w="1363" w:type="pct"/>
            <w:tcBorders>
              <w:top w:val="nil"/>
              <w:left w:val="nil"/>
              <w:bottom w:val="dashed" w:sz="8" w:space="0" w:color="215868"/>
              <w:right w:val="nil"/>
            </w:tcBorders>
            <w:shd w:val="clear" w:color="auto" w:fill="auto"/>
            <w:noWrap/>
            <w:vAlign w:val="bottom"/>
            <w:hideMark/>
          </w:tcPr>
          <w:p w:rsidR="00D66F0A" w:rsidRPr="00D66F0A" w:rsidRDefault="00D66F0A" w:rsidP="00D66F0A">
            <w:pPr>
              <w:jc w:val="center"/>
              <w:rPr>
                <w:rFonts w:eastAsia="Times New Roman" w:cs="Calibri"/>
                <w:b/>
                <w:bCs/>
                <w:color w:val="215868"/>
                <w:sz w:val="20"/>
                <w:szCs w:val="20"/>
                <w:lang w:eastAsia="it-IT"/>
              </w:rPr>
            </w:pPr>
            <w:r w:rsidRPr="00D66F0A">
              <w:rPr>
                <w:rFonts w:eastAsia="Times New Roman" w:cs="Calibri"/>
                <w:b/>
                <w:bCs/>
                <w:color w:val="215868"/>
                <w:sz w:val="20"/>
                <w:szCs w:val="20"/>
                <w:lang w:eastAsia="it-IT"/>
              </w:rPr>
              <w:t>1.3</w:t>
            </w:r>
          </w:p>
        </w:tc>
        <w:tc>
          <w:tcPr>
            <w:tcW w:w="1625" w:type="pct"/>
            <w:tcBorders>
              <w:top w:val="nil"/>
              <w:left w:val="nil"/>
              <w:bottom w:val="dashed" w:sz="8" w:space="0" w:color="215868"/>
              <w:right w:val="nil"/>
            </w:tcBorders>
            <w:shd w:val="clear" w:color="auto" w:fill="auto"/>
            <w:noWrap/>
            <w:vAlign w:val="bottom"/>
            <w:hideMark/>
          </w:tcPr>
          <w:p w:rsidR="00D66F0A" w:rsidRPr="00D66F0A" w:rsidRDefault="00D66F0A" w:rsidP="00D66F0A">
            <w:pPr>
              <w:jc w:val="center"/>
              <w:rPr>
                <w:rFonts w:eastAsia="Times New Roman" w:cs="Calibri"/>
                <w:b/>
                <w:bCs/>
                <w:color w:val="215868"/>
                <w:sz w:val="20"/>
                <w:szCs w:val="20"/>
                <w:lang w:eastAsia="it-IT"/>
              </w:rPr>
            </w:pPr>
            <w:r w:rsidRPr="00D66F0A">
              <w:rPr>
                <w:rFonts w:eastAsia="Times New Roman" w:cs="Calibri"/>
                <w:b/>
                <w:bCs/>
                <w:color w:val="215868"/>
                <w:sz w:val="20"/>
                <w:szCs w:val="20"/>
                <w:lang w:eastAsia="it-IT"/>
              </w:rPr>
              <w:t>1.1</w:t>
            </w:r>
          </w:p>
        </w:tc>
      </w:tr>
      <w:tr w:rsidR="00D66F0A" w:rsidRPr="00D66F0A" w:rsidTr="00D66F0A">
        <w:trPr>
          <w:trHeight w:val="315"/>
        </w:trPr>
        <w:tc>
          <w:tcPr>
            <w:tcW w:w="2012" w:type="pct"/>
            <w:tcBorders>
              <w:top w:val="nil"/>
              <w:left w:val="nil"/>
              <w:bottom w:val="single" w:sz="12" w:space="0" w:color="215868"/>
              <w:right w:val="nil"/>
            </w:tcBorders>
            <w:shd w:val="clear" w:color="auto" w:fill="auto"/>
            <w:noWrap/>
            <w:vAlign w:val="bottom"/>
            <w:hideMark/>
          </w:tcPr>
          <w:p w:rsidR="00D66F0A" w:rsidRPr="00D66F0A" w:rsidRDefault="00D66F0A" w:rsidP="00D66F0A">
            <w:pPr>
              <w:jc w:val="left"/>
              <w:rPr>
                <w:rFonts w:eastAsia="Times New Roman" w:cs="Calibri"/>
                <w:color w:val="000000"/>
                <w:sz w:val="20"/>
                <w:szCs w:val="20"/>
                <w:lang w:eastAsia="it-IT"/>
              </w:rPr>
            </w:pPr>
            <w:r w:rsidRPr="00D66F0A">
              <w:rPr>
                <w:rFonts w:eastAsia="Times New Roman" w:cs="Calibri"/>
                <w:color w:val="000000"/>
                <w:sz w:val="20"/>
                <w:szCs w:val="20"/>
                <w:lang w:eastAsia="it-IT"/>
              </w:rPr>
              <w:t>Italy</w:t>
            </w:r>
          </w:p>
        </w:tc>
        <w:tc>
          <w:tcPr>
            <w:tcW w:w="1363" w:type="pct"/>
            <w:tcBorders>
              <w:top w:val="nil"/>
              <w:left w:val="nil"/>
              <w:bottom w:val="single" w:sz="12" w:space="0" w:color="215868"/>
              <w:right w:val="nil"/>
            </w:tcBorders>
            <w:shd w:val="clear" w:color="auto" w:fill="auto"/>
            <w:noWrap/>
            <w:vAlign w:val="bottom"/>
            <w:hideMark/>
          </w:tcPr>
          <w:p w:rsidR="00D66F0A" w:rsidRPr="00D66F0A" w:rsidRDefault="00D66F0A" w:rsidP="00D66F0A">
            <w:pPr>
              <w:jc w:val="center"/>
              <w:rPr>
                <w:rFonts w:eastAsia="Times New Roman" w:cs="Calibri"/>
                <w:color w:val="000000"/>
                <w:sz w:val="20"/>
                <w:szCs w:val="20"/>
                <w:lang w:eastAsia="it-IT"/>
              </w:rPr>
            </w:pPr>
            <w:r w:rsidRPr="00D66F0A">
              <w:rPr>
                <w:rFonts w:eastAsia="Times New Roman" w:cs="Calibri"/>
                <w:color w:val="000000"/>
                <w:sz w:val="20"/>
                <w:szCs w:val="20"/>
                <w:lang w:eastAsia="it-IT"/>
              </w:rPr>
              <w:t>1.5</w:t>
            </w:r>
          </w:p>
        </w:tc>
        <w:tc>
          <w:tcPr>
            <w:tcW w:w="1625" w:type="pct"/>
            <w:tcBorders>
              <w:top w:val="nil"/>
              <w:left w:val="nil"/>
              <w:bottom w:val="single" w:sz="12" w:space="0" w:color="215868"/>
              <w:right w:val="nil"/>
            </w:tcBorders>
            <w:shd w:val="clear" w:color="auto" w:fill="auto"/>
            <w:noWrap/>
            <w:vAlign w:val="bottom"/>
            <w:hideMark/>
          </w:tcPr>
          <w:p w:rsidR="00D66F0A" w:rsidRPr="00D66F0A" w:rsidRDefault="00D66F0A" w:rsidP="00D66F0A">
            <w:pPr>
              <w:jc w:val="center"/>
              <w:rPr>
                <w:rFonts w:eastAsia="Times New Roman" w:cs="Calibri"/>
                <w:color w:val="000000"/>
                <w:sz w:val="20"/>
                <w:szCs w:val="20"/>
                <w:lang w:eastAsia="it-IT"/>
              </w:rPr>
            </w:pPr>
            <w:r w:rsidRPr="00D66F0A">
              <w:rPr>
                <w:rFonts w:eastAsia="Times New Roman" w:cs="Calibri"/>
                <w:color w:val="000000"/>
                <w:sz w:val="20"/>
                <w:szCs w:val="20"/>
                <w:lang w:eastAsia="it-IT"/>
              </w:rPr>
              <w:t>1.4</w:t>
            </w:r>
          </w:p>
        </w:tc>
      </w:tr>
    </w:tbl>
    <w:p w:rsidR="00D4748D" w:rsidRPr="00D4748D" w:rsidRDefault="00D4748D" w:rsidP="00D4748D">
      <w:pPr>
        <w:spacing w:after="120"/>
        <w:rPr>
          <w:rFonts w:asciiTheme="majorHAnsi" w:hAnsiTheme="majorHAnsi"/>
          <w:sz w:val="18"/>
          <w:szCs w:val="18"/>
          <w:lang w:val="en-US"/>
        </w:rPr>
      </w:pPr>
      <w:r>
        <w:rPr>
          <w:rFonts w:asciiTheme="majorHAnsi" w:hAnsiTheme="majorHAnsi"/>
          <w:sz w:val="18"/>
          <w:szCs w:val="18"/>
          <w:lang w:val="en-US"/>
        </w:rPr>
        <w:t>Source</w:t>
      </w:r>
      <w:r w:rsidRPr="00D4748D">
        <w:rPr>
          <w:rFonts w:asciiTheme="majorHAnsi" w:hAnsiTheme="majorHAnsi"/>
          <w:sz w:val="18"/>
          <w:szCs w:val="18"/>
          <w:lang w:val="en-US"/>
        </w:rPr>
        <w:t xml:space="preserve">: Confindustria and SRM elaborations on </w:t>
      </w:r>
      <w:r w:rsidR="00C33F57" w:rsidRPr="00D4748D">
        <w:rPr>
          <w:rFonts w:asciiTheme="majorHAnsi" w:hAnsiTheme="majorHAnsi"/>
          <w:sz w:val="18"/>
          <w:szCs w:val="18"/>
          <w:lang w:val="en-US"/>
        </w:rPr>
        <w:t>various data</w:t>
      </w:r>
    </w:p>
    <w:p w:rsidR="00D66F0A" w:rsidRPr="00D4748D" w:rsidRDefault="00D66F0A" w:rsidP="00E07361">
      <w:pPr>
        <w:spacing w:after="120"/>
        <w:rPr>
          <w:rFonts w:ascii="Cambria" w:hAnsi="Cambria"/>
          <w:b/>
          <w:lang w:val="en-US"/>
        </w:rPr>
      </w:pPr>
    </w:p>
    <w:p w:rsidR="00D66F0A" w:rsidRPr="00D4748D" w:rsidRDefault="00D66F0A" w:rsidP="00E07361">
      <w:pPr>
        <w:spacing w:after="120"/>
        <w:rPr>
          <w:rFonts w:ascii="Cambria" w:hAnsi="Cambria"/>
          <w:b/>
          <w:lang w:val="en-US"/>
        </w:rPr>
      </w:pPr>
    </w:p>
    <w:p w:rsidR="00D66F0A" w:rsidRDefault="00D66F0A" w:rsidP="00E07361">
      <w:pPr>
        <w:spacing w:after="120"/>
        <w:rPr>
          <w:rFonts w:ascii="Cambria" w:hAnsi="Cambria"/>
          <w:b/>
          <w:lang w:val="en-US"/>
        </w:rPr>
      </w:pPr>
    </w:p>
    <w:p w:rsidR="0085073D" w:rsidRPr="00D4748D" w:rsidRDefault="0085073D" w:rsidP="00E07361">
      <w:pPr>
        <w:spacing w:after="120"/>
        <w:rPr>
          <w:rFonts w:ascii="Cambria" w:hAnsi="Cambria"/>
          <w:b/>
          <w:lang w:val="en-US"/>
        </w:rPr>
      </w:pPr>
    </w:p>
    <w:p w:rsidR="0085073D" w:rsidRPr="005A140F" w:rsidRDefault="0085073D" w:rsidP="0085073D">
      <w:pPr>
        <w:spacing w:after="120"/>
        <w:rPr>
          <w:rFonts w:ascii="Cambria" w:hAnsi="Cambria"/>
          <w:b/>
          <w:lang w:val="en-GB"/>
        </w:rPr>
      </w:pPr>
      <w:r w:rsidRPr="00ED4C07">
        <w:rPr>
          <w:rFonts w:ascii="Cambria" w:hAnsi="Cambria"/>
          <w:b/>
          <w:lang w:val="en-GB"/>
        </w:rPr>
        <w:t xml:space="preserve">Growth rates of number of companies* 2010-2017, </w:t>
      </w:r>
      <w:r>
        <w:rPr>
          <w:rFonts w:ascii="Cambria" w:hAnsi="Cambria"/>
          <w:b/>
          <w:lang w:val="en-GB"/>
        </w:rPr>
        <w:t>comparison between</w:t>
      </w:r>
      <w:r w:rsidRPr="00ED4C07">
        <w:rPr>
          <w:rFonts w:ascii="Cambria" w:hAnsi="Cambria"/>
          <w:b/>
          <w:lang w:val="en-GB"/>
        </w:rPr>
        <w:t xml:space="preserve"> </w:t>
      </w:r>
      <w:proofErr w:type="spellStart"/>
      <w:r w:rsidRPr="00ED4C07">
        <w:rPr>
          <w:rFonts w:ascii="Cambria" w:hAnsi="Cambria"/>
          <w:b/>
          <w:lang w:val="en-GB"/>
        </w:rPr>
        <w:t>Mezzogiorno</w:t>
      </w:r>
      <w:proofErr w:type="spellEnd"/>
      <w:r w:rsidRPr="00ED4C07">
        <w:rPr>
          <w:rFonts w:ascii="Cambria" w:hAnsi="Cambria"/>
          <w:b/>
          <w:lang w:val="en-GB"/>
        </w:rPr>
        <w:t xml:space="preserve"> </w:t>
      </w:r>
      <w:r>
        <w:rPr>
          <w:rFonts w:ascii="Cambria" w:hAnsi="Cambria"/>
          <w:b/>
          <w:lang w:val="en-GB"/>
        </w:rPr>
        <w:t>and Centre-North</w:t>
      </w:r>
    </w:p>
    <w:p w:rsidR="00E07361" w:rsidRPr="007E2BBD" w:rsidRDefault="00D66F0A" w:rsidP="007F4FFE">
      <w:pPr>
        <w:shd w:val="clear" w:color="auto" w:fill="FFFFFF"/>
        <w:spacing w:after="120"/>
        <w:rPr>
          <w:rFonts w:asciiTheme="majorHAnsi" w:hAnsiTheme="majorHAnsi"/>
          <w:b/>
        </w:rPr>
      </w:pPr>
      <w:r>
        <w:rPr>
          <w:rFonts w:asciiTheme="majorHAnsi" w:hAnsiTheme="majorHAnsi"/>
          <w:b/>
          <w:noProof/>
          <w:lang w:eastAsia="it-IT"/>
        </w:rPr>
        <w:drawing>
          <wp:inline distT="0" distB="0" distL="0" distR="0" wp14:anchorId="62CE5C53">
            <wp:extent cx="6019618" cy="2472967"/>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7517" cy="2472104"/>
                    </a:xfrm>
                    <a:prstGeom prst="rect">
                      <a:avLst/>
                    </a:prstGeom>
                    <a:noFill/>
                  </pic:spPr>
                </pic:pic>
              </a:graphicData>
            </a:graphic>
          </wp:inline>
        </w:drawing>
      </w:r>
    </w:p>
    <w:p w:rsidR="00D357CA" w:rsidRPr="002F4748" w:rsidRDefault="00D357CA" w:rsidP="00D357CA">
      <w:pPr>
        <w:spacing w:after="120"/>
        <w:rPr>
          <w:rFonts w:asciiTheme="majorHAnsi" w:hAnsiTheme="majorHAnsi"/>
          <w:sz w:val="18"/>
          <w:szCs w:val="18"/>
          <w:lang w:val="en-US"/>
        </w:rPr>
      </w:pPr>
      <w:r w:rsidRPr="002F4748">
        <w:rPr>
          <w:rFonts w:asciiTheme="majorHAnsi" w:hAnsiTheme="majorHAnsi"/>
          <w:sz w:val="18"/>
          <w:szCs w:val="18"/>
          <w:lang w:val="en-US"/>
        </w:rPr>
        <w:t>* Active companies; trend growth rates (III trimester on III trimester of the previous year)</w:t>
      </w:r>
    </w:p>
    <w:p w:rsidR="00D4748D" w:rsidRPr="00D4748D" w:rsidRDefault="00D4748D" w:rsidP="00D4748D">
      <w:pPr>
        <w:spacing w:after="120"/>
        <w:rPr>
          <w:rFonts w:asciiTheme="majorHAnsi" w:hAnsiTheme="majorHAnsi"/>
          <w:sz w:val="18"/>
          <w:szCs w:val="18"/>
          <w:lang w:val="en-US"/>
        </w:rPr>
      </w:pPr>
      <w:r>
        <w:rPr>
          <w:rFonts w:asciiTheme="majorHAnsi" w:hAnsiTheme="majorHAnsi"/>
          <w:sz w:val="18"/>
          <w:szCs w:val="18"/>
          <w:lang w:val="en-US"/>
        </w:rPr>
        <w:t>Source</w:t>
      </w:r>
      <w:r w:rsidRPr="00D4748D">
        <w:rPr>
          <w:rFonts w:asciiTheme="majorHAnsi" w:hAnsiTheme="majorHAnsi"/>
          <w:sz w:val="18"/>
          <w:szCs w:val="18"/>
          <w:lang w:val="en-US"/>
        </w:rPr>
        <w:t xml:space="preserve">: Confindustria and SRM elaborations on </w:t>
      </w:r>
      <w:proofErr w:type="spellStart"/>
      <w:r>
        <w:rPr>
          <w:rFonts w:asciiTheme="majorHAnsi" w:hAnsiTheme="majorHAnsi"/>
          <w:sz w:val="18"/>
          <w:szCs w:val="18"/>
          <w:lang w:val="en-US"/>
        </w:rPr>
        <w:t>Movimprese</w:t>
      </w:r>
      <w:proofErr w:type="spellEnd"/>
      <w:r w:rsidRPr="00D4748D">
        <w:rPr>
          <w:rFonts w:asciiTheme="majorHAnsi" w:hAnsiTheme="majorHAnsi"/>
          <w:sz w:val="18"/>
          <w:szCs w:val="18"/>
          <w:lang w:val="en-US"/>
        </w:rPr>
        <w:t xml:space="preserve"> data</w:t>
      </w:r>
    </w:p>
    <w:p w:rsidR="00D66F0A" w:rsidRPr="00D4748D" w:rsidRDefault="00D66F0A" w:rsidP="007F4FFE">
      <w:pPr>
        <w:spacing w:after="120"/>
        <w:rPr>
          <w:rFonts w:asciiTheme="majorHAnsi" w:eastAsia="Times New Roman" w:hAnsiTheme="majorHAnsi"/>
          <w:sz w:val="18"/>
          <w:szCs w:val="18"/>
          <w:lang w:val="en-US" w:eastAsia="it-IT"/>
        </w:rPr>
      </w:pPr>
    </w:p>
    <w:p w:rsidR="00984F43" w:rsidRPr="00ED4C07" w:rsidRDefault="00984F43" w:rsidP="00984F43">
      <w:pPr>
        <w:spacing w:after="120"/>
        <w:rPr>
          <w:rFonts w:ascii="Cambria" w:hAnsi="Cambria"/>
          <w:b/>
          <w:lang w:val="en-GB"/>
        </w:rPr>
      </w:pPr>
      <w:r w:rsidRPr="00ED4C07">
        <w:rPr>
          <w:rFonts w:ascii="Cambria" w:hAnsi="Cambria"/>
          <w:b/>
          <w:lang w:val="en-GB"/>
        </w:rPr>
        <w:t xml:space="preserve">Gross fixed investment per branch of activity in the </w:t>
      </w:r>
      <w:proofErr w:type="spellStart"/>
      <w:r w:rsidRPr="00ED4C07">
        <w:rPr>
          <w:rFonts w:ascii="Cambria" w:hAnsi="Cambria"/>
          <w:b/>
          <w:lang w:val="en-GB"/>
        </w:rPr>
        <w:t>Mezzogiorno</w:t>
      </w:r>
      <w:proofErr w:type="spellEnd"/>
      <w:r w:rsidRPr="00ED4C07">
        <w:rPr>
          <w:rFonts w:ascii="Cambria" w:hAnsi="Cambria"/>
          <w:b/>
          <w:lang w:val="en-GB"/>
        </w:rPr>
        <w:t xml:space="preserve"> and the Centre-North (2000-2016)</w:t>
      </w:r>
    </w:p>
    <w:tbl>
      <w:tblPr>
        <w:tblW w:w="9820" w:type="dxa"/>
        <w:tblInd w:w="70" w:type="dxa"/>
        <w:tblCellMar>
          <w:left w:w="70" w:type="dxa"/>
          <w:right w:w="70" w:type="dxa"/>
        </w:tblCellMar>
        <w:tblLook w:val="04A0" w:firstRow="1" w:lastRow="0" w:firstColumn="1" w:lastColumn="0" w:noHBand="0" w:noVBand="1"/>
      </w:tblPr>
      <w:tblGrid>
        <w:gridCol w:w="2876"/>
        <w:gridCol w:w="3208"/>
        <w:gridCol w:w="1319"/>
        <w:gridCol w:w="1178"/>
        <w:gridCol w:w="1239"/>
      </w:tblGrid>
      <w:tr w:rsidR="00D66F0A" w:rsidRPr="00CF36FD" w:rsidTr="00D66F0A">
        <w:trPr>
          <w:trHeight w:val="255"/>
        </w:trPr>
        <w:tc>
          <w:tcPr>
            <w:tcW w:w="2876" w:type="dxa"/>
            <w:vMerge w:val="restart"/>
            <w:tcBorders>
              <w:top w:val="nil"/>
              <w:left w:val="nil"/>
              <w:bottom w:val="nil"/>
              <w:right w:val="nil"/>
            </w:tcBorders>
            <w:shd w:val="clear" w:color="000000" w:fill="1F497D"/>
            <w:noWrap/>
            <w:vAlign w:val="center"/>
            <w:hideMark/>
          </w:tcPr>
          <w:p w:rsidR="00D66F0A" w:rsidRPr="00984F43" w:rsidRDefault="00D66F0A" w:rsidP="00D66F0A">
            <w:pPr>
              <w:jc w:val="center"/>
              <w:rPr>
                <w:rFonts w:asciiTheme="minorHAnsi" w:eastAsia="Times New Roman" w:hAnsiTheme="minorHAnsi" w:cstheme="minorHAnsi"/>
                <w:color w:val="FFFFFF"/>
                <w:sz w:val="20"/>
                <w:szCs w:val="20"/>
                <w:lang w:val="en-US" w:eastAsia="it-IT"/>
              </w:rPr>
            </w:pPr>
            <w:r w:rsidRPr="00984F43">
              <w:rPr>
                <w:rFonts w:asciiTheme="minorHAnsi" w:eastAsia="Times New Roman" w:hAnsiTheme="minorHAnsi" w:cstheme="minorHAnsi"/>
                <w:color w:val="FFFFFF"/>
                <w:sz w:val="20"/>
                <w:szCs w:val="20"/>
                <w:lang w:val="en-US" w:eastAsia="it-IT"/>
              </w:rPr>
              <w:t> </w:t>
            </w:r>
          </w:p>
        </w:tc>
        <w:tc>
          <w:tcPr>
            <w:tcW w:w="3208" w:type="dxa"/>
            <w:vMerge w:val="restart"/>
            <w:tcBorders>
              <w:top w:val="nil"/>
              <w:left w:val="nil"/>
              <w:bottom w:val="nil"/>
              <w:right w:val="nil"/>
            </w:tcBorders>
            <w:shd w:val="clear" w:color="000000" w:fill="1F497D"/>
            <w:vAlign w:val="center"/>
            <w:hideMark/>
          </w:tcPr>
          <w:p w:rsidR="00D66F0A" w:rsidRPr="00CF36FD" w:rsidRDefault="00D66F0A" w:rsidP="00D66F0A">
            <w:pPr>
              <w:jc w:val="center"/>
              <w:rPr>
                <w:rFonts w:asciiTheme="minorHAnsi" w:eastAsia="Times New Roman" w:hAnsiTheme="minorHAnsi" w:cstheme="minorHAnsi"/>
                <w:color w:val="FFFFFF"/>
                <w:sz w:val="20"/>
                <w:szCs w:val="20"/>
                <w:lang w:eastAsia="it-IT"/>
              </w:rPr>
            </w:pPr>
            <w:r w:rsidRPr="00CF36FD">
              <w:rPr>
                <w:rFonts w:asciiTheme="minorHAnsi" w:eastAsia="Times New Roman" w:hAnsiTheme="minorHAnsi" w:cstheme="minorHAnsi"/>
                <w:color w:val="FFFFFF"/>
                <w:sz w:val="20"/>
                <w:szCs w:val="20"/>
                <w:lang w:eastAsia="it-IT"/>
              </w:rPr>
              <w:t xml:space="preserve">2016 </w:t>
            </w:r>
            <w:r w:rsidRPr="00CF36FD">
              <w:rPr>
                <w:rFonts w:asciiTheme="minorHAnsi" w:eastAsia="Times New Roman" w:hAnsiTheme="minorHAnsi" w:cstheme="minorHAnsi"/>
                <w:color w:val="FFFFFF"/>
                <w:sz w:val="20"/>
                <w:szCs w:val="20"/>
                <w:lang w:eastAsia="it-IT"/>
              </w:rPr>
              <w:br/>
              <w:t>(</w:t>
            </w:r>
            <w:proofErr w:type="spellStart"/>
            <w:r w:rsidRPr="00CF36FD">
              <w:rPr>
                <w:rFonts w:asciiTheme="minorHAnsi" w:eastAsia="Times New Roman" w:hAnsiTheme="minorHAnsi" w:cstheme="minorHAnsi"/>
                <w:color w:val="FFFFFF"/>
                <w:sz w:val="20"/>
                <w:szCs w:val="20"/>
                <w:lang w:eastAsia="it-IT"/>
              </w:rPr>
              <w:t>current</w:t>
            </w:r>
            <w:proofErr w:type="spellEnd"/>
            <w:r w:rsidRPr="00CF36FD">
              <w:rPr>
                <w:rFonts w:asciiTheme="minorHAnsi" w:eastAsia="Times New Roman" w:hAnsiTheme="minorHAnsi" w:cstheme="minorHAnsi"/>
                <w:color w:val="FFFFFF"/>
                <w:sz w:val="20"/>
                <w:szCs w:val="20"/>
                <w:lang w:eastAsia="it-IT"/>
              </w:rPr>
              <w:t xml:space="preserve"> </w:t>
            </w:r>
            <w:proofErr w:type="spellStart"/>
            <w:r w:rsidRPr="00CF36FD">
              <w:rPr>
                <w:rFonts w:asciiTheme="minorHAnsi" w:eastAsia="Times New Roman" w:hAnsiTheme="minorHAnsi" w:cstheme="minorHAnsi"/>
                <w:color w:val="FFFFFF"/>
                <w:sz w:val="20"/>
                <w:szCs w:val="20"/>
                <w:lang w:eastAsia="it-IT"/>
              </w:rPr>
              <w:t>millions</w:t>
            </w:r>
            <w:proofErr w:type="spellEnd"/>
            <w:r w:rsidRPr="00CF36FD">
              <w:rPr>
                <w:rFonts w:asciiTheme="minorHAnsi" w:eastAsia="Times New Roman" w:hAnsiTheme="minorHAnsi" w:cstheme="minorHAnsi"/>
                <w:color w:val="FFFFFF"/>
                <w:sz w:val="20"/>
                <w:szCs w:val="20"/>
                <w:lang w:eastAsia="it-IT"/>
              </w:rPr>
              <w:t xml:space="preserve"> €)</w:t>
            </w:r>
          </w:p>
        </w:tc>
        <w:tc>
          <w:tcPr>
            <w:tcW w:w="1319" w:type="dxa"/>
            <w:tcBorders>
              <w:top w:val="nil"/>
              <w:left w:val="nil"/>
              <w:bottom w:val="nil"/>
              <w:right w:val="nil"/>
            </w:tcBorders>
            <w:shd w:val="clear" w:color="000000" w:fill="1F497D"/>
            <w:vAlign w:val="center"/>
            <w:hideMark/>
          </w:tcPr>
          <w:p w:rsidR="00D66F0A" w:rsidRPr="00CF36FD" w:rsidRDefault="00D66F0A" w:rsidP="00D66F0A">
            <w:pPr>
              <w:jc w:val="center"/>
              <w:rPr>
                <w:rFonts w:asciiTheme="minorHAnsi" w:eastAsia="Times New Roman" w:hAnsiTheme="minorHAnsi" w:cstheme="minorHAnsi"/>
                <w:color w:val="FFFFFF"/>
                <w:sz w:val="20"/>
                <w:szCs w:val="20"/>
                <w:lang w:eastAsia="it-IT"/>
              </w:rPr>
            </w:pPr>
            <w:proofErr w:type="spellStart"/>
            <w:r w:rsidRPr="00CF36FD">
              <w:rPr>
                <w:rFonts w:asciiTheme="minorHAnsi" w:eastAsia="Times New Roman" w:hAnsiTheme="minorHAnsi" w:cstheme="minorHAnsi"/>
                <w:color w:val="FFFFFF"/>
                <w:sz w:val="20"/>
                <w:szCs w:val="20"/>
                <w:lang w:eastAsia="it-IT"/>
              </w:rPr>
              <w:t>Var</w:t>
            </w:r>
            <w:proofErr w:type="spellEnd"/>
            <w:r w:rsidRPr="00CF36FD">
              <w:rPr>
                <w:rFonts w:asciiTheme="minorHAnsi" w:eastAsia="Times New Roman" w:hAnsiTheme="minorHAnsi" w:cstheme="minorHAnsi"/>
                <w:color w:val="FFFFFF"/>
                <w:sz w:val="20"/>
                <w:szCs w:val="20"/>
                <w:lang w:eastAsia="it-IT"/>
              </w:rPr>
              <w:t>. %</w:t>
            </w:r>
          </w:p>
        </w:tc>
        <w:tc>
          <w:tcPr>
            <w:tcW w:w="1178" w:type="dxa"/>
            <w:vMerge w:val="restart"/>
            <w:tcBorders>
              <w:top w:val="nil"/>
              <w:left w:val="nil"/>
              <w:bottom w:val="nil"/>
              <w:right w:val="nil"/>
            </w:tcBorders>
            <w:shd w:val="clear" w:color="000000" w:fill="1F497D"/>
            <w:vAlign w:val="center"/>
            <w:hideMark/>
          </w:tcPr>
          <w:p w:rsidR="00D66F0A" w:rsidRPr="00CF36FD" w:rsidRDefault="00D66F0A" w:rsidP="00D66F0A">
            <w:pPr>
              <w:jc w:val="center"/>
              <w:rPr>
                <w:rFonts w:asciiTheme="minorHAnsi" w:eastAsia="Times New Roman" w:hAnsiTheme="minorHAnsi" w:cstheme="minorHAnsi"/>
                <w:color w:val="FFFFFF"/>
                <w:sz w:val="20"/>
                <w:szCs w:val="20"/>
                <w:lang w:eastAsia="it-IT"/>
              </w:rPr>
            </w:pPr>
            <w:r w:rsidRPr="00CF36FD">
              <w:rPr>
                <w:rFonts w:asciiTheme="minorHAnsi" w:eastAsia="Times New Roman" w:hAnsiTheme="minorHAnsi" w:cstheme="minorHAnsi"/>
                <w:color w:val="FFFFFF"/>
                <w:sz w:val="20"/>
                <w:szCs w:val="20"/>
                <w:lang w:eastAsia="it-IT"/>
              </w:rPr>
              <w:t>2016</w:t>
            </w:r>
          </w:p>
        </w:tc>
        <w:tc>
          <w:tcPr>
            <w:tcW w:w="1239" w:type="dxa"/>
            <w:tcBorders>
              <w:top w:val="nil"/>
              <w:left w:val="nil"/>
              <w:bottom w:val="nil"/>
              <w:right w:val="nil"/>
            </w:tcBorders>
            <w:shd w:val="clear" w:color="000000" w:fill="1F497D"/>
            <w:vAlign w:val="center"/>
            <w:hideMark/>
          </w:tcPr>
          <w:p w:rsidR="00D66F0A" w:rsidRPr="00CF36FD" w:rsidRDefault="00D66F0A" w:rsidP="00D66F0A">
            <w:pPr>
              <w:jc w:val="center"/>
              <w:rPr>
                <w:rFonts w:asciiTheme="minorHAnsi" w:eastAsia="Times New Roman" w:hAnsiTheme="minorHAnsi" w:cstheme="minorHAnsi"/>
                <w:color w:val="FFFFFF"/>
                <w:sz w:val="20"/>
                <w:szCs w:val="20"/>
                <w:lang w:eastAsia="it-IT"/>
              </w:rPr>
            </w:pPr>
            <w:proofErr w:type="spellStart"/>
            <w:r w:rsidRPr="00CF36FD">
              <w:rPr>
                <w:rFonts w:asciiTheme="minorHAnsi" w:eastAsia="Times New Roman" w:hAnsiTheme="minorHAnsi" w:cstheme="minorHAnsi"/>
                <w:color w:val="FFFFFF"/>
                <w:sz w:val="20"/>
                <w:szCs w:val="20"/>
                <w:lang w:eastAsia="it-IT"/>
              </w:rPr>
              <w:t>Var</w:t>
            </w:r>
            <w:proofErr w:type="spellEnd"/>
            <w:r w:rsidRPr="00CF36FD">
              <w:rPr>
                <w:rFonts w:asciiTheme="minorHAnsi" w:eastAsia="Times New Roman" w:hAnsiTheme="minorHAnsi" w:cstheme="minorHAnsi"/>
                <w:color w:val="FFFFFF"/>
                <w:sz w:val="20"/>
                <w:szCs w:val="20"/>
                <w:lang w:eastAsia="it-IT"/>
              </w:rPr>
              <w:t>. %</w:t>
            </w:r>
          </w:p>
        </w:tc>
      </w:tr>
      <w:tr w:rsidR="00D66F0A" w:rsidRPr="00CF36FD" w:rsidTr="00D66F0A">
        <w:trPr>
          <w:trHeight w:val="255"/>
        </w:trPr>
        <w:tc>
          <w:tcPr>
            <w:tcW w:w="2876" w:type="dxa"/>
            <w:vMerge/>
            <w:tcBorders>
              <w:top w:val="nil"/>
              <w:left w:val="nil"/>
              <w:bottom w:val="nil"/>
              <w:right w:val="nil"/>
            </w:tcBorders>
            <w:vAlign w:val="center"/>
            <w:hideMark/>
          </w:tcPr>
          <w:p w:rsidR="00D66F0A" w:rsidRPr="00CF36FD" w:rsidRDefault="00D66F0A" w:rsidP="00D66F0A">
            <w:pPr>
              <w:jc w:val="left"/>
              <w:rPr>
                <w:rFonts w:asciiTheme="minorHAnsi" w:eastAsia="Times New Roman" w:hAnsiTheme="minorHAnsi" w:cstheme="minorHAnsi"/>
                <w:color w:val="FFFFFF"/>
                <w:sz w:val="20"/>
                <w:szCs w:val="20"/>
                <w:lang w:eastAsia="it-IT"/>
              </w:rPr>
            </w:pPr>
          </w:p>
        </w:tc>
        <w:tc>
          <w:tcPr>
            <w:tcW w:w="3208" w:type="dxa"/>
            <w:vMerge/>
            <w:tcBorders>
              <w:top w:val="nil"/>
              <w:left w:val="nil"/>
              <w:bottom w:val="nil"/>
              <w:right w:val="nil"/>
            </w:tcBorders>
            <w:vAlign w:val="center"/>
            <w:hideMark/>
          </w:tcPr>
          <w:p w:rsidR="00D66F0A" w:rsidRPr="00CF36FD" w:rsidRDefault="00D66F0A" w:rsidP="00D66F0A">
            <w:pPr>
              <w:jc w:val="left"/>
              <w:rPr>
                <w:rFonts w:asciiTheme="minorHAnsi" w:eastAsia="Times New Roman" w:hAnsiTheme="minorHAnsi" w:cstheme="minorHAnsi"/>
                <w:color w:val="FFFFFF"/>
                <w:sz w:val="20"/>
                <w:szCs w:val="20"/>
                <w:lang w:eastAsia="it-IT"/>
              </w:rPr>
            </w:pPr>
          </w:p>
        </w:tc>
        <w:tc>
          <w:tcPr>
            <w:tcW w:w="1319" w:type="dxa"/>
            <w:tcBorders>
              <w:top w:val="nil"/>
              <w:left w:val="nil"/>
              <w:bottom w:val="nil"/>
              <w:right w:val="nil"/>
            </w:tcBorders>
            <w:shd w:val="clear" w:color="000000" w:fill="1F497D"/>
            <w:vAlign w:val="center"/>
            <w:hideMark/>
          </w:tcPr>
          <w:p w:rsidR="00D66F0A" w:rsidRPr="00CF36FD" w:rsidRDefault="00D66F0A" w:rsidP="00D66F0A">
            <w:pPr>
              <w:jc w:val="center"/>
              <w:rPr>
                <w:rFonts w:asciiTheme="minorHAnsi" w:eastAsia="Times New Roman" w:hAnsiTheme="minorHAnsi" w:cstheme="minorHAnsi"/>
                <w:color w:val="FFFFFF"/>
                <w:sz w:val="20"/>
                <w:szCs w:val="20"/>
                <w:lang w:eastAsia="it-IT"/>
              </w:rPr>
            </w:pPr>
            <w:r w:rsidRPr="00CF36FD">
              <w:rPr>
                <w:rFonts w:asciiTheme="minorHAnsi" w:eastAsia="Times New Roman" w:hAnsiTheme="minorHAnsi" w:cstheme="minorHAnsi"/>
                <w:color w:val="FFFFFF"/>
                <w:sz w:val="20"/>
                <w:szCs w:val="20"/>
                <w:lang w:eastAsia="it-IT"/>
              </w:rPr>
              <w:t>2000/2006*</w:t>
            </w:r>
          </w:p>
        </w:tc>
        <w:tc>
          <w:tcPr>
            <w:tcW w:w="1178" w:type="dxa"/>
            <w:vMerge/>
            <w:tcBorders>
              <w:top w:val="nil"/>
              <w:left w:val="nil"/>
              <w:bottom w:val="nil"/>
              <w:right w:val="nil"/>
            </w:tcBorders>
            <w:vAlign w:val="center"/>
            <w:hideMark/>
          </w:tcPr>
          <w:p w:rsidR="00D66F0A" w:rsidRPr="00CF36FD" w:rsidRDefault="00D66F0A" w:rsidP="00D66F0A">
            <w:pPr>
              <w:jc w:val="left"/>
              <w:rPr>
                <w:rFonts w:asciiTheme="minorHAnsi" w:eastAsia="Times New Roman" w:hAnsiTheme="minorHAnsi" w:cstheme="minorHAnsi"/>
                <w:color w:val="FFFFFF"/>
                <w:sz w:val="20"/>
                <w:szCs w:val="20"/>
                <w:lang w:eastAsia="it-IT"/>
              </w:rPr>
            </w:pPr>
          </w:p>
        </w:tc>
        <w:tc>
          <w:tcPr>
            <w:tcW w:w="1239" w:type="dxa"/>
            <w:tcBorders>
              <w:top w:val="nil"/>
              <w:left w:val="nil"/>
              <w:bottom w:val="nil"/>
              <w:right w:val="nil"/>
            </w:tcBorders>
            <w:shd w:val="clear" w:color="000000" w:fill="1F497D"/>
            <w:vAlign w:val="center"/>
            <w:hideMark/>
          </w:tcPr>
          <w:p w:rsidR="00D66F0A" w:rsidRPr="00CF36FD" w:rsidRDefault="00D66F0A" w:rsidP="00D66F0A">
            <w:pPr>
              <w:jc w:val="center"/>
              <w:rPr>
                <w:rFonts w:asciiTheme="minorHAnsi" w:eastAsia="Times New Roman" w:hAnsiTheme="minorHAnsi" w:cstheme="minorHAnsi"/>
                <w:color w:val="FFFFFF"/>
                <w:sz w:val="20"/>
                <w:szCs w:val="20"/>
                <w:lang w:eastAsia="it-IT"/>
              </w:rPr>
            </w:pPr>
            <w:r w:rsidRPr="00CF36FD">
              <w:rPr>
                <w:rFonts w:asciiTheme="minorHAnsi" w:eastAsia="Times New Roman" w:hAnsiTheme="minorHAnsi" w:cstheme="minorHAnsi"/>
                <w:color w:val="FFFFFF"/>
                <w:sz w:val="20"/>
                <w:szCs w:val="20"/>
                <w:lang w:eastAsia="it-IT"/>
              </w:rPr>
              <w:t>2000/2006*</w:t>
            </w:r>
          </w:p>
        </w:tc>
      </w:tr>
      <w:tr w:rsidR="00D66F0A" w:rsidRPr="00CF36FD" w:rsidTr="00D66F0A">
        <w:trPr>
          <w:trHeight w:val="270"/>
        </w:trPr>
        <w:tc>
          <w:tcPr>
            <w:tcW w:w="2876" w:type="dxa"/>
            <w:tcBorders>
              <w:top w:val="nil"/>
              <w:left w:val="nil"/>
              <w:bottom w:val="single" w:sz="8" w:space="0" w:color="auto"/>
              <w:right w:val="nil"/>
            </w:tcBorders>
            <w:shd w:val="clear" w:color="auto" w:fill="auto"/>
            <w:noWrap/>
            <w:vAlign w:val="center"/>
            <w:hideMark/>
          </w:tcPr>
          <w:p w:rsidR="00D66F0A" w:rsidRPr="00CF36FD" w:rsidRDefault="00D66F0A" w:rsidP="00D66F0A">
            <w:pPr>
              <w:jc w:val="center"/>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 </w:t>
            </w:r>
          </w:p>
        </w:tc>
        <w:tc>
          <w:tcPr>
            <w:tcW w:w="4527" w:type="dxa"/>
            <w:gridSpan w:val="2"/>
            <w:tcBorders>
              <w:top w:val="nil"/>
              <w:left w:val="nil"/>
              <w:bottom w:val="single" w:sz="8" w:space="0" w:color="auto"/>
              <w:right w:val="dashed" w:sz="8" w:space="0" w:color="1F497D"/>
            </w:tcBorders>
            <w:shd w:val="clear" w:color="auto" w:fill="auto"/>
            <w:vAlign w:val="center"/>
            <w:hideMark/>
          </w:tcPr>
          <w:p w:rsidR="00D66F0A" w:rsidRPr="00CF36FD" w:rsidRDefault="00D66F0A" w:rsidP="00D66F0A">
            <w:pPr>
              <w:jc w:val="center"/>
              <w:rPr>
                <w:rFonts w:asciiTheme="minorHAnsi" w:eastAsia="Times New Roman" w:hAnsiTheme="minorHAnsi" w:cstheme="minorHAnsi"/>
                <w:b/>
                <w:bCs/>
                <w:color w:val="1F497D"/>
                <w:sz w:val="20"/>
                <w:szCs w:val="20"/>
                <w:lang w:eastAsia="it-IT"/>
              </w:rPr>
            </w:pPr>
            <w:r w:rsidRPr="00CF36FD">
              <w:rPr>
                <w:rFonts w:asciiTheme="minorHAnsi" w:eastAsia="Times New Roman" w:hAnsiTheme="minorHAnsi" w:cstheme="minorHAnsi"/>
                <w:b/>
                <w:bCs/>
                <w:color w:val="1F497D"/>
                <w:sz w:val="20"/>
                <w:szCs w:val="20"/>
                <w:lang w:eastAsia="it-IT"/>
              </w:rPr>
              <w:t>Mezzogiorno</w:t>
            </w:r>
          </w:p>
        </w:tc>
        <w:tc>
          <w:tcPr>
            <w:tcW w:w="2417" w:type="dxa"/>
            <w:gridSpan w:val="2"/>
            <w:tcBorders>
              <w:top w:val="nil"/>
              <w:left w:val="nil"/>
              <w:bottom w:val="single" w:sz="8" w:space="0" w:color="auto"/>
              <w:right w:val="nil"/>
            </w:tcBorders>
            <w:shd w:val="clear" w:color="auto" w:fill="auto"/>
            <w:vAlign w:val="center"/>
            <w:hideMark/>
          </w:tcPr>
          <w:p w:rsidR="00D66F0A" w:rsidRPr="00CF36FD" w:rsidRDefault="00D66F0A" w:rsidP="00D66F0A">
            <w:pPr>
              <w:jc w:val="center"/>
              <w:rPr>
                <w:rFonts w:asciiTheme="minorHAnsi" w:eastAsia="Times New Roman" w:hAnsiTheme="minorHAnsi" w:cstheme="minorHAnsi"/>
                <w:sz w:val="20"/>
                <w:szCs w:val="20"/>
                <w:lang w:eastAsia="it-IT"/>
              </w:rPr>
            </w:pPr>
            <w:r w:rsidRPr="00CF36FD">
              <w:rPr>
                <w:rFonts w:asciiTheme="minorHAnsi" w:eastAsia="Times New Roman" w:hAnsiTheme="minorHAnsi" w:cstheme="minorHAnsi"/>
                <w:sz w:val="20"/>
                <w:szCs w:val="20"/>
                <w:lang w:eastAsia="it-IT"/>
              </w:rPr>
              <w:t>Centro-Nord</w:t>
            </w:r>
          </w:p>
        </w:tc>
      </w:tr>
      <w:tr w:rsidR="00D66F0A" w:rsidRPr="00CF36FD" w:rsidTr="00D66F0A">
        <w:trPr>
          <w:trHeight w:val="255"/>
        </w:trPr>
        <w:tc>
          <w:tcPr>
            <w:tcW w:w="2876" w:type="dxa"/>
            <w:tcBorders>
              <w:top w:val="nil"/>
              <w:left w:val="nil"/>
              <w:bottom w:val="nil"/>
              <w:right w:val="nil"/>
            </w:tcBorders>
            <w:shd w:val="clear" w:color="auto" w:fill="auto"/>
            <w:noWrap/>
            <w:vAlign w:val="center"/>
            <w:hideMark/>
          </w:tcPr>
          <w:p w:rsidR="00D66F0A" w:rsidRPr="00CF36FD" w:rsidRDefault="00D66F0A" w:rsidP="00D66F0A">
            <w:pPr>
              <w:jc w:val="left"/>
              <w:rPr>
                <w:rFonts w:asciiTheme="minorHAnsi" w:eastAsia="Times New Roman" w:hAnsiTheme="minorHAnsi" w:cstheme="minorHAnsi"/>
                <w:color w:val="000000"/>
                <w:sz w:val="20"/>
                <w:szCs w:val="20"/>
                <w:lang w:eastAsia="it-IT"/>
              </w:rPr>
            </w:pPr>
            <w:proofErr w:type="spellStart"/>
            <w:r w:rsidRPr="00CF36FD">
              <w:rPr>
                <w:rFonts w:asciiTheme="minorHAnsi" w:eastAsia="Times New Roman" w:hAnsiTheme="minorHAnsi" w:cstheme="minorHAnsi"/>
                <w:color w:val="000000"/>
                <w:sz w:val="20"/>
                <w:szCs w:val="20"/>
                <w:lang w:eastAsia="it-IT"/>
              </w:rPr>
              <w:t>Agriculture</w:t>
            </w:r>
            <w:proofErr w:type="spellEnd"/>
            <w:r w:rsidRPr="00CF36FD">
              <w:rPr>
                <w:rFonts w:asciiTheme="minorHAnsi" w:eastAsia="Times New Roman" w:hAnsiTheme="minorHAnsi" w:cstheme="minorHAnsi"/>
                <w:color w:val="000000"/>
                <w:sz w:val="20"/>
                <w:szCs w:val="20"/>
                <w:lang w:eastAsia="it-IT"/>
              </w:rPr>
              <w:t xml:space="preserve">, </w:t>
            </w:r>
            <w:proofErr w:type="spellStart"/>
            <w:r w:rsidRPr="00CF36FD">
              <w:rPr>
                <w:rFonts w:asciiTheme="minorHAnsi" w:eastAsia="Times New Roman" w:hAnsiTheme="minorHAnsi" w:cstheme="minorHAnsi"/>
                <w:color w:val="000000"/>
                <w:sz w:val="20"/>
                <w:szCs w:val="20"/>
                <w:lang w:eastAsia="it-IT"/>
              </w:rPr>
              <w:t>forestry</w:t>
            </w:r>
            <w:proofErr w:type="spellEnd"/>
            <w:r w:rsidRPr="00CF36FD">
              <w:rPr>
                <w:rFonts w:asciiTheme="minorHAnsi" w:eastAsia="Times New Roman" w:hAnsiTheme="minorHAnsi" w:cstheme="minorHAnsi"/>
                <w:color w:val="000000"/>
                <w:sz w:val="20"/>
                <w:szCs w:val="20"/>
                <w:lang w:eastAsia="it-IT"/>
              </w:rPr>
              <w:t xml:space="preserve"> and </w:t>
            </w:r>
            <w:proofErr w:type="spellStart"/>
            <w:r w:rsidRPr="00CF36FD">
              <w:rPr>
                <w:rFonts w:asciiTheme="minorHAnsi" w:eastAsia="Times New Roman" w:hAnsiTheme="minorHAnsi" w:cstheme="minorHAnsi"/>
                <w:color w:val="000000"/>
                <w:sz w:val="20"/>
                <w:szCs w:val="20"/>
                <w:lang w:eastAsia="it-IT"/>
              </w:rPr>
              <w:t>fishing</w:t>
            </w:r>
            <w:proofErr w:type="spellEnd"/>
          </w:p>
        </w:tc>
        <w:tc>
          <w:tcPr>
            <w:tcW w:w="3208" w:type="dxa"/>
            <w:tcBorders>
              <w:top w:val="nil"/>
              <w:left w:val="nil"/>
              <w:bottom w:val="nil"/>
              <w:right w:val="nil"/>
            </w:tcBorders>
            <w:shd w:val="clear" w:color="auto" w:fill="auto"/>
            <w:noWrap/>
            <w:vAlign w:val="center"/>
            <w:hideMark/>
          </w:tcPr>
          <w:p w:rsidR="00D66F0A" w:rsidRPr="00CF36FD" w:rsidRDefault="00D66F0A" w:rsidP="00D66F0A">
            <w:pPr>
              <w:jc w:val="center"/>
              <w:rPr>
                <w:rFonts w:asciiTheme="minorHAnsi" w:eastAsia="Times New Roman" w:hAnsiTheme="minorHAnsi" w:cstheme="minorHAnsi"/>
                <w:b/>
                <w:bCs/>
                <w:color w:val="1F497D"/>
                <w:sz w:val="20"/>
                <w:szCs w:val="20"/>
                <w:lang w:eastAsia="it-IT"/>
              </w:rPr>
            </w:pPr>
            <w:r w:rsidRPr="00CF36FD">
              <w:rPr>
                <w:rFonts w:asciiTheme="minorHAnsi" w:eastAsia="Times New Roman" w:hAnsiTheme="minorHAnsi" w:cstheme="minorHAnsi"/>
                <w:b/>
                <w:bCs/>
                <w:color w:val="1F497D"/>
                <w:sz w:val="20"/>
                <w:szCs w:val="20"/>
                <w:lang w:eastAsia="it-IT"/>
              </w:rPr>
              <w:t>2,202</w:t>
            </w:r>
          </w:p>
        </w:tc>
        <w:tc>
          <w:tcPr>
            <w:tcW w:w="1319" w:type="dxa"/>
            <w:tcBorders>
              <w:top w:val="nil"/>
              <w:left w:val="nil"/>
              <w:bottom w:val="nil"/>
              <w:right w:val="dashed" w:sz="8" w:space="0" w:color="1F497D"/>
            </w:tcBorders>
            <w:shd w:val="clear" w:color="auto" w:fill="auto"/>
            <w:noWrap/>
            <w:vAlign w:val="center"/>
            <w:hideMark/>
          </w:tcPr>
          <w:p w:rsidR="00D66F0A" w:rsidRPr="00CF36FD" w:rsidRDefault="00D66F0A" w:rsidP="00D66F0A">
            <w:pPr>
              <w:jc w:val="center"/>
              <w:rPr>
                <w:rFonts w:asciiTheme="minorHAnsi" w:eastAsia="Times New Roman" w:hAnsiTheme="minorHAnsi" w:cstheme="minorHAnsi"/>
                <w:b/>
                <w:bCs/>
                <w:color w:val="1F497D"/>
                <w:sz w:val="20"/>
                <w:szCs w:val="20"/>
                <w:lang w:eastAsia="it-IT"/>
              </w:rPr>
            </w:pPr>
            <w:r w:rsidRPr="00CF36FD">
              <w:rPr>
                <w:rFonts w:asciiTheme="minorHAnsi" w:eastAsia="Times New Roman" w:hAnsiTheme="minorHAnsi" w:cstheme="minorHAnsi"/>
                <w:b/>
                <w:bCs/>
                <w:color w:val="1F497D"/>
                <w:sz w:val="20"/>
                <w:szCs w:val="20"/>
                <w:lang w:eastAsia="it-IT"/>
              </w:rPr>
              <w:t>-40.9</w:t>
            </w:r>
          </w:p>
        </w:tc>
        <w:tc>
          <w:tcPr>
            <w:tcW w:w="1178" w:type="dxa"/>
            <w:tcBorders>
              <w:top w:val="nil"/>
              <w:left w:val="nil"/>
              <w:bottom w:val="nil"/>
              <w:right w:val="nil"/>
            </w:tcBorders>
            <w:shd w:val="clear" w:color="auto" w:fill="auto"/>
            <w:noWrap/>
            <w:vAlign w:val="center"/>
            <w:hideMark/>
          </w:tcPr>
          <w:p w:rsidR="00D66F0A" w:rsidRPr="00CF36FD" w:rsidRDefault="00D66F0A" w:rsidP="00D66F0A">
            <w:pPr>
              <w:jc w:val="center"/>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7,107</w:t>
            </w:r>
          </w:p>
        </w:tc>
        <w:tc>
          <w:tcPr>
            <w:tcW w:w="1239" w:type="dxa"/>
            <w:tcBorders>
              <w:top w:val="nil"/>
              <w:left w:val="nil"/>
              <w:bottom w:val="nil"/>
              <w:right w:val="nil"/>
            </w:tcBorders>
            <w:shd w:val="clear" w:color="auto" w:fill="auto"/>
            <w:noWrap/>
            <w:vAlign w:val="center"/>
            <w:hideMark/>
          </w:tcPr>
          <w:p w:rsidR="00D66F0A" w:rsidRPr="00CF36FD" w:rsidRDefault="00D66F0A" w:rsidP="00D66F0A">
            <w:pPr>
              <w:jc w:val="center"/>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-4.8</w:t>
            </w:r>
          </w:p>
        </w:tc>
      </w:tr>
      <w:tr w:rsidR="00D66F0A" w:rsidRPr="00CF36FD" w:rsidTr="00D66F0A">
        <w:trPr>
          <w:trHeight w:val="255"/>
        </w:trPr>
        <w:tc>
          <w:tcPr>
            <w:tcW w:w="2876" w:type="dxa"/>
            <w:tcBorders>
              <w:top w:val="nil"/>
              <w:left w:val="nil"/>
              <w:bottom w:val="nil"/>
              <w:right w:val="nil"/>
            </w:tcBorders>
            <w:shd w:val="clear" w:color="auto" w:fill="auto"/>
            <w:noWrap/>
            <w:vAlign w:val="center"/>
            <w:hideMark/>
          </w:tcPr>
          <w:p w:rsidR="00D66F0A" w:rsidRPr="00CF36FD" w:rsidRDefault="00D66F0A" w:rsidP="00D66F0A">
            <w:pPr>
              <w:jc w:val="left"/>
              <w:rPr>
                <w:rFonts w:asciiTheme="minorHAnsi" w:eastAsia="Times New Roman" w:hAnsiTheme="minorHAnsi" w:cstheme="minorHAnsi"/>
                <w:color w:val="000000"/>
                <w:sz w:val="20"/>
                <w:szCs w:val="20"/>
                <w:lang w:eastAsia="it-IT"/>
              </w:rPr>
            </w:pPr>
            <w:proofErr w:type="spellStart"/>
            <w:r w:rsidRPr="00CF36FD">
              <w:rPr>
                <w:rFonts w:asciiTheme="minorHAnsi" w:eastAsia="Times New Roman" w:hAnsiTheme="minorHAnsi" w:cstheme="minorHAnsi"/>
                <w:color w:val="000000"/>
                <w:sz w:val="20"/>
                <w:szCs w:val="20"/>
                <w:lang w:eastAsia="it-IT"/>
              </w:rPr>
              <w:t>Industry</w:t>
            </w:r>
            <w:proofErr w:type="spellEnd"/>
          </w:p>
        </w:tc>
        <w:tc>
          <w:tcPr>
            <w:tcW w:w="3208" w:type="dxa"/>
            <w:tcBorders>
              <w:top w:val="nil"/>
              <w:left w:val="nil"/>
              <w:bottom w:val="nil"/>
              <w:right w:val="nil"/>
            </w:tcBorders>
            <w:shd w:val="clear" w:color="auto" w:fill="auto"/>
            <w:noWrap/>
            <w:vAlign w:val="center"/>
            <w:hideMark/>
          </w:tcPr>
          <w:p w:rsidR="00D66F0A" w:rsidRPr="00CF36FD" w:rsidRDefault="00D66F0A" w:rsidP="00D66F0A">
            <w:pPr>
              <w:jc w:val="center"/>
              <w:rPr>
                <w:rFonts w:asciiTheme="minorHAnsi" w:eastAsia="Times New Roman" w:hAnsiTheme="minorHAnsi" w:cstheme="minorHAnsi"/>
                <w:b/>
                <w:bCs/>
                <w:color w:val="1F497D"/>
                <w:sz w:val="20"/>
                <w:szCs w:val="20"/>
                <w:lang w:eastAsia="it-IT"/>
              </w:rPr>
            </w:pPr>
            <w:r w:rsidRPr="00CF36FD">
              <w:rPr>
                <w:rFonts w:asciiTheme="minorHAnsi" w:eastAsia="Times New Roman" w:hAnsiTheme="minorHAnsi" w:cstheme="minorHAnsi"/>
                <w:b/>
                <w:bCs/>
                <w:color w:val="1F497D"/>
                <w:sz w:val="20"/>
                <w:szCs w:val="20"/>
                <w:lang w:eastAsia="it-IT"/>
              </w:rPr>
              <w:t>11,967</w:t>
            </w:r>
          </w:p>
        </w:tc>
        <w:tc>
          <w:tcPr>
            <w:tcW w:w="1319" w:type="dxa"/>
            <w:tcBorders>
              <w:top w:val="nil"/>
              <w:left w:val="nil"/>
              <w:bottom w:val="nil"/>
              <w:right w:val="dashed" w:sz="8" w:space="0" w:color="1F497D"/>
            </w:tcBorders>
            <w:shd w:val="clear" w:color="auto" w:fill="auto"/>
            <w:noWrap/>
            <w:vAlign w:val="center"/>
            <w:hideMark/>
          </w:tcPr>
          <w:p w:rsidR="00D66F0A" w:rsidRPr="00CF36FD" w:rsidRDefault="00D66F0A" w:rsidP="00D66F0A">
            <w:pPr>
              <w:jc w:val="center"/>
              <w:rPr>
                <w:rFonts w:asciiTheme="minorHAnsi" w:eastAsia="Times New Roman" w:hAnsiTheme="minorHAnsi" w:cstheme="minorHAnsi"/>
                <w:b/>
                <w:bCs/>
                <w:color w:val="1F497D"/>
                <w:sz w:val="20"/>
                <w:szCs w:val="20"/>
                <w:lang w:eastAsia="it-IT"/>
              </w:rPr>
            </w:pPr>
            <w:r w:rsidRPr="00CF36FD">
              <w:rPr>
                <w:rFonts w:asciiTheme="minorHAnsi" w:eastAsia="Times New Roman" w:hAnsiTheme="minorHAnsi" w:cstheme="minorHAnsi"/>
                <w:b/>
                <w:bCs/>
                <w:color w:val="1F497D"/>
                <w:sz w:val="20"/>
                <w:szCs w:val="20"/>
                <w:lang w:eastAsia="it-IT"/>
              </w:rPr>
              <w:t>-37.6</w:t>
            </w:r>
          </w:p>
        </w:tc>
        <w:tc>
          <w:tcPr>
            <w:tcW w:w="1178" w:type="dxa"/>
            <w:tcBorders>
              <w:top w:val="nil"/>
              <w:left w:val="nil"/>
              <w:bottom w:val="nil"/>
              <w:right w:val="nil"/>
            </w:tcBorders>
            <w:shd w:val="clear" w:color="auto" w:fill="auto"/>
            <w:noWrap/>
            <w:vAlign w:val="center"/>
            <w:hideMark/>
          </w:tcPr>
          <w:p w:rsidR="00D66F0A" w:rsidRPr="00CF36FD" w:rsidRDefault="00D66F0A" w:rsidP="00D66F0A">
            <w:pPr>
              <w:jc w:val="center"/>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60,271</w:t>
            </w:r>
          </w:p>
        </w:tc>
        <w:tc>
          <w:tcPr>
            <w:tcW w:w="1239" w:type="dxa"/>
            <w:tcBorders>
              <w:top w:val="nil"/>
              <w:left w:val="nil"/>
              <w:bottom w:val="nil"/>
              <w:right w:val="nil"/>
            </w:tcBorders>
            <w:shd w:val="clear" w:color="auto" w:fill="auto"/>
            <w:noWrap/>
            <w:vAlign w:val="center"/>
            <w:hideMark/>
          </w:tcPr>
          <w:p w:rsidR="00D66F0A" w:rsidRPr="00CF36FD" w:rsidRDefault="00D66F0A" w:rsidP="00D66F0A">
            <w:pPr>
              <w:jc w:val="center"/>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6.7</w:t>
            </w:r>
          </w:p>
        </w:tc>
      </w:tr>
      <w:tr w:rsidR="00D66F0A" w:rsidRPr="00CF36FD" w:rsidTr="00D66F0A">
        <w:trPr>
          <w:trHeight w:val="255"/>
        </w:trPr>
        <w:tc>
          <w:tcPr>
            <w:tcW w:w="2876" w:type="dxa"/>
            <w:tcBorders>
              <w:top w:val="nil"/>
              <w:left w:val="nil"/>
              <w:bottom w:val="nil"/>
              <w:right w:val="nil"/>
            </w:tcBorders>
            <w:shd w:val="clear" w:color="auto" w:fill="auto"/>
            <w:noWrap/>
            <w:vAlign w:val="center"/>
            <w:hideMark/>
          </w:tcPr>
          <w:p w:rsidR="00D66F0A" w:rsidRPr="00CF36FD" w:rsidRDefault="00D66F0A" w:rsidP="00D66F0A">
            <w:pPr>
              <w:jc w:val="left"/>
              <w:rPr>
                <w:rFonts w:asciiTheme="minorHAnsi" w:eastAsia="Times New Roman" w:hAnsiTheme="minorHAnsi" w:cstheme="minorHAnsi"/>
                <w:color w:val="000000"/>
                <w:sz w:val="20"/>
                <w:szCs w:val="20"/>
                <w:lang w:eastAsia="it-IT"/>
              </w:rPr>
            </w:pPr>
            <w:proofErr w:type="spellStart"/>
            <w:r w:rsidRPr="00CF36FD">
              <w:rPr>
                <w:rFonts w:asciiTheme="minorHAnsi" w:eastAsia="Times New Roman" w:hAnsiTheme="minorHAnsi" w:cstheme="minorHAnsi"/>
                <w:color w:val="000000"/>
                <w:sz w:val="20"/>
                <w:szCs w:val="20"/>
                <w:lang w:eastAsia="it-IT"/>
              </w:rPr>
              <w:t>Buildings</w:t>
            </w:r>
            <w:proofErr w:type="spellEnd"/>
          </w:p>
        </w:tc>
        <w:tc>
          <w:tcPr>
            <w:tcW w:w="3208" w:type="dxa"/>
            <w:tcBorders>
              <w:top w:val="nil"/>
              <w:left w:val="nil"/>
              <w:bottom w:val="nil"/>
              <w:right w:val="nil"/>
            </w:tcBorders>
            <w:shd w:val="clear" w:color="auto" w:fill="auto"/>
            <w:noWrap/>
            <w:vAlign w:val="center"/>
            <w:hideMark/>
          </w:tcPr>
          <w:p w:rsidR="00D66F0A" w:rsidRPr="00CF36FD" w:rsidRDefault="00D66F0A" w:rsidP="00D66F0A">
            <w:pPr>
              <w:jc w:val="center"/>
              <w:rPr>
                <w:rFonts w:asciiTheme="minorHAnsi" w:eastAsia="Times New Roman" w:hAnsiTheme="minorHAnsi" w:cstheme="minorHAnsi"/>
                <w:b/>
                <w:bCs/>
                <w:color w:val="1F497D"/>
                <w:sz w:val="20"/>
                <w:szCs w:val="20"/>
                <w:lang w:eastAsia="it-IT"/>
              </w:rPr>
            </w:pPr>
            <w:r w:rsidRPr="00CF36FD">
              <w:rPr>
                <w:rFonts w:asciiTheme="minorHAnsi" w:eastAsia="Times New Roman" w:hAnsiTheme="minorHAnsi" w:cstheme="minorHAnsi"/>
                <w:b/>
                <w:bCs/>
                <w:color w:val="1F497D"/>
                <w:sz w:val="20"/>
                <w:szCs w:val="20"/>
                <w:lang w:eastAsia="it-IT"/>
              </w:rPr>
              <w:t>1,737</w:t>
            </w:r>
          </w:p>
        </w:tc>
        <w:tc>
          <w:tcPr>
            <w:tcW w:w="1319" w:type="dxa"/>
            <w:tcBorders>
              <w:top w:val="nil"/>
              <w:left w:val="nil"/>
              <w:bottom w:val="nil"/>
              <w:right w:val="dashed" w:sz="8" w:space="0" w:color="1F497D"/>
            </w:tcBorders>
            <w:shd w:val="clear" w:color="auto" w:fill="auto"/>
            <w:noWrap/>
            <w:vAlign w:val="center"/>
            <w:hideMark/>
          </w:tcPr>
          <w:p w:rsidR="00D66F0A" w:rsidRPr="00CF36FD" w:rsidRDefault="00D66F0A" w:rsidP="00D66F0A">
            <w:pPr>
              <w:jc w:val="center"/>
              <w:rPr>
                <w:rFonts w:asciiTheme="minorHAnsi" w:eastAsia="Times New Roman" w:hAnsiTheme="minorHAnsi" w:cstheme="minorHAnsi"/>
                <w:b/>
                <w:bCs/>
                <w:color w:val="1F497D"/>
                <w:sz w:val="20"/>
                <w:szCs w:val="20"/>
                <w:lang w:eastAsia="it-IT"/>
              </w:rPr>
            </w:pPr>
            <w:r w:rsidRPr="00CF36FD">
              <w:rPr>
                <w:rFonts w:asciiTheme="minorHAnsi" w:eastAsia="Times New Roman" w:hAnsiTheme="minorHAnsi" w:cstheme="minorHAnsi"/>
                <w:b/>
                <w:bCs/>
                <w:color w:val="1F497D"/>
                <w:sz w:val="20"/>
                <w:szCs w:val="20"/>
                <w:lang w:eastAsia="it-IT"/>
              </w:rPr>
              <w:t>-47.1</w:t>
            </w:r>
          </w:p>
        </w:tc>
        <w:tc>
          <w:tcPr>
            <w:tcW w:w="1178" w:type="dxa"/>
            <w:tcBorders>
              <w:top w:val="nil"/>
              <w:left w:val="nil"/>
              <w:bottom w:val="nil"/>
              <w:right w:val="nil"/>
            </w:tcBorders>
            <w:shd w:val="clear" w:color="auto" w:fill="auto"/>
            <w:noWrap/>
            <w:vAlign w:val="center"/>
            <w:hideMark/>
          </w:tcPr>
          <w:p w:rsidR="00D66F0A" w:rsidRPr="00CF36FD" w:rsidRDefault="00D66F0A" w:rsidP="00D66F0A">
            <w:pPr>
              <w:jc w:val="center"/>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4,719</w:t>
            </w:r>
          </w:p>
        </w:tc>
        <w:tc>
          <w:tcPr>
            <w:tcW w:w="1239" w:type="dxa"/>
            <w:tcBorders>
              <w:top w:val="nil"/>
              <w:left w:val="nil"/>
              <w:bottom w:val="nil"/>
              <w:right w:val="nil"/>
            </w:tcBorders>
            <w:shd w:val="clear" w:color="auto" w:fill="auto"/>
            <w:noWrap/>
            <w:vAlign w:val="center"/>
            <w:hideMark/>
          </w:tcPr>
          <w:p w:rsidR="00D66F0A" w:rsidRPr="00CF36FD" w:rsidRDefault="00D66F0A" w:rsidP="00D66F0A">
            <w:pPr>
              <w:jc w:val="center"/>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-43.5</w:t>
            </w:r>
          </w:p>
        </w:tc>
      </w:tr>
      <w:tr w:rsidR="00D66F0A" w:rsidRPr="00CF36FD" w:rsidTr="00D66F0A">
        <w:trPr>
          <w:trHeight w:val="255"/>
        </w:trPr>
        <w:tc>
          <w:tcPr>
            <w:tcW w:w="2876" w:type="dxa"/>
            <w:tcBorders>
              <w:top w:val="nil"/>
              <w:left w:val="nil"/>
              <w:bottom w:val="nil"/>
              <w:right w:val="nil"/>
            </w:tcBorders>
            <w:shd w:val="clear" w:color="auto" w:fill="auto"/>
            <w:noWrap/>
            <w:vAlign w:val="center"/>
            <w:hideMark/>
          </w:tcPr>
          <w:p w:rsidR="00D66F0A" w:rsidRPr="00CF36FD" w:rsidRDefault="00D66F0A" w:rsidP="00D66F0A">
            <w:pPr>
              <w:jc w:val="lef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Services</w:t>
            </w:r>
          </w:p>
        </w:tc>
        <w:tc>
          <w:tcPr>
            <w:tcW w:w="3208" w:type="dxa"/>
            <w:tcBorders>
              <w:top w:val="nil"/>
              <w:left w:val="nil"/>
              <w:bottom w:val="nil"/>
              <w:right w:val="nil"/>
            </w:tcBorders>
            <w:shd w:val="clear" w:color="auto" w:fill="auto"/>
            <w:noWrap/>
            <w:vAlign w:val="center"/>
            <w:hideMark/>
          </w:tcPr>
          <w:p w:rsidR="00D66F0A" w:rsidRPr="00CF36FD" w:rsidRDefault="00D66F0A" w:rsidP="00D66F0A">
            <w:pPr>
              <w:jc w:val="center"/>
              <w:rPr>
                <w:rFonts w:asciiTheme="minorHAnsi" w:eastAsia="Times New Roman" w:hAnsiTheme="minorHAnsi" w:cstheme="minorHAnsi"/>
                <w:b/>
                <w:bCs/>
                <w:color w:val="1F497D"/>
                <w:sz w:val="20"/>
                <w:szCs w:val="20"/>
                <w:lang w:eastAsia="it-IT"/>
              </w:rPr>
            </w:pPr>
            <w:r w:rsidRPr="00CF36FD">
              <w:rPr>
                <w:rFonts w:asciiTheme="minorHAnsi" w:eastAsia="Times New Roman" w:hAnsiTheme="minorHAnsi" w:cstheme="minorHAnsi"/>
                <w:b/>
                <w:bCs/>
                <w:color w:val="1F497D"/>
                <w:sz w:val="20"/>
                <w:szCs w:val="20"/>
                <w:lang w:eastAsia="it-IT"/>
              </w:rPr>
              <w:t>46,928</w:t>
            </w:r>
          </w:p>
        </w:tc>
        <w:tc>
          <w:tcPr>
            <w:tcW w:w="1319" w:type="dxa"/>
            <w:tcBorders>
              <w:top w:val="nil"/>
              <w:left w:val="nil"/>
              <w:bottom w:val="nil"/>
              <w:right w:val="dashed" w:sz="8" w:space="0" w:color="1F497D"/>
            </w:tcBorders>
            <w:shd w:val="clear" w:color="auto" w:fill="auto"/>
            <w:noWrap/>
            <w:vAlign w:val="center"/>
            <w:hideMark/>
          </w:tcPr>
          <w:p w:rsidR="00D66F0A" w:rsidRPr="00CF36FD" w:rsidRDefault="00D66F0A" w:rsidP="00D66F0A">
            <w:pPr>
              <w:jc w:val="center"/>
              <w:rPr>
                <w:rFonts w:asciiTheme="minorHAnsi" w:eastAsia="Times New Roman" w:hAnsiTheme="minorHAnsi" w:cstheme="minorHAnsi"/>
                <w:b/>
                <w:bCs/>
                <w:color w:val="1F497D"/>
                <w:sz w:val="20"/>
                <w:szCs w:val="20"/>
                <w:lang w:eastAsia="it-IT"/>
              </w:rPr>
            </w:pPr>
            <w:r w:rsidRPr="00CF36FD">
              <w:rPr>
                <w:rFonts w:asciiTheme="minorHAnsi" w:eastAsia="Times New Roman" w:hAnsiTheme="minorHAnsi" w:cstheme="minorHAnsi"/>
                <w:b/>
                <w:bCs/>
                <w:color w:val="1F497D"/>
                <w:sz w:val="20"/>
                <w:szCs w:val="20"/>
                <w:lang w:eastAsia="it-IT"/>
              </w:rPr>
              <w:t>-5.7</w:t>
            </w:r>
          </w:p>
        </w:tc>
        <w:tc>
          <w:tcPr>
            <w:tcW w:w="1178" w:type="dxa"/>
            <w:tcBorders>
              <w:top w:val="nil"/>
              <w:left w:val="nil"/>
              <w:bottom w:val="nil"/>
              <w:right w:val="nil"/>
            </w:tcBorders>
            <w:shd w:val="clear" w:color="auto" w:fill="auto"/>
            <w:noWrap/>
            <w:vAlign w:val="center"/>
            <w:hideMark/>
          </w:tcPr>
          <w:p w:rsidR="00D66F0A" w:rsidRPr="00CF36FD" w:rsidRDefault="00D66F0A" w:rsidP="00D66F0A">
            <w:pPr>
              <w:jc w:val="center"/>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149,214</w:t>
            </w:r>
          </w:p>
        </w:tc>
        <w:tc>
          <w:tcPr>
            <w:tcW w:w="1239" w:type="dxa"/>
            <w:tcBorders>
              <w:top w:val="nil"/>
              <w:left w:val="nil"/>
              <w:bottom w:val="nil"/>
              <w:right w:val="nil"/>
            </w:tcBorders>
            <w:shd w:val="clear" w:color="auto" w:fill="auto"/>
            <w:noWrap/>
            <w:vAlign w:val="center"/>
            <w:hideMark/>
          </w:tcPr>
          <w:p w:rsidR="00D66F0A" w:rsidRPr="00CF36FD" w:rsidRDefault="00D66F0A" w:rsidP="00D66F0A">
            <w:pPr>
              <w:jc w:val="center"/>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5.1</w:t>
            </w:r>
          </w:p>
        </w:tc>
      </w:tr>
      <w:tr w:rsidR="00D66F0A" w:rsidRPr="00CF36FD" w:rsidTr="00D66F0A">
        <w:trPr>
          <w:trHeight w:val="270"/>
        </w:trPr>
        <w:tc>
          <w:tcPr>
            <w:tcW w:w="2876" w:type="dxa"/>
            <w:tcBorders>
              <w:top w:val="nil"/>
              <w:left w:val="nil"/>
              <w:bottom w:val="single" w:sz="12" w:space="0" w:color="1F497D"/>
              <w:right w:val="nil"/>
            </w:tcBorders>
            <w:shd w:val="clear" w:color="auto" w:fill="auto"/>
            <w:noWrap/>
            <w:vAlign w:val="center"/>
            <w:hideMark/>
          </w:tcPr>
          <w:p w:rsidR="00D66F0A" w:rsidRPr="00CF36FD" w:rsidRDefault="00D66F0A" w:rsidP="00D66F0A">
            <w:pPr>
              <w:jc w:val="lef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Total</w:t>
            </w:r>
          </w:p>
        </w:tc>
        <w:tc>
          <w:tcPr>
            <w:tcW w:w="3208" w:type="dxa"/>
            <w:tcBorders>
              <w:top w:val="nil"/>
              <w:left w:val="nil"/>
              <w:bottom w:val="single" w:sz="12" w:space="0" w:color="1F497D"/>
              <w:right w:val="nil"/>
            </w:tcBorders>
            <w:shd w:val="clear" w:color="auto" w:fill="auto"/>
            <w:noWrap/>
            <w:vAlign w:val="center"/>
            <w:hideMark/>
          </w:tcPr>
          <w:p w:rsidR="00D66F0A" w:rsidRPr="00CF36FD" w:rsidRDefault="00D66F0A" w:rsidP="00D66F0A">
            <w:pPr>
              <w:jc w:val="center"/>
              <w:rPr>
                <w:rFonts w:asciiTheme="minorHAnsi" w:eastAsia="Times New Roman" w:hAnsiTheme="minorHAnsi" w:cstheme="minorHAnsi"/>
                <w:b/>
                <w:bCs/>
                <w:color w:val="1F497D"/>
                <w:sz w:val="20"/>
                <w:szCs w:val="20"/>
                <w:lang w:eastAsia="it-IT"/>
              </w:rPr>
            </w:pPr>
            <w:r w:rsidRPr="00CF36FD">
              <w:rPr>
                <w:rFonts w:asciiTheme="minorHAnsi" w:eastAsia="Times New Roman" w:hAnsiTheme="minorHAnsi" w:cstheme="minorHAnsi"/>
                <w:b/>
                <w:bCs/>
                <w:color w:val="1F497D"/>
                <w:sz w:val="20"/>
                <w:szCs w:val="20"/>
                <w:lang w:eastAsia="it-IT"/>
              </w:rPr>
              <w:t>62,835</w:t>
            </w:r>
          </w:p>
        </w:tc>
        <w:tc>
          <w:tcPr>
            <w:tcW w:w="1319" w:type="dxa"/>
            <w:tcBorders>
              <w:top w:val="nil"/>
              <w:left w:val="nil"/>
              <w:bottom w:val="single" w:sz="12" w:space="0" w:color="1F497D"/>
              <w:right w:val="dashed" w:sz="8" w:space="0" w:color="1F497D"/>
            </w:tcBorders>
            <w:shd w:val="clear" w:color="auto" w:fill="auto"/>
            <w:noWrap/>
            <w:vAlign w:val="center"/>
            <w:hideMark/>
          </w:tcPr>
          <w:p w:rsidR="00D66F0A" w:rsidRPr="00CF36FD" w:rsidRDefault="00D66F0A" w:rsidP="00D66F0A">
            <w:pPr>
              <w:jc w:val="center"/>
              <w:rPr>
                <w:rFonts w:asciiTheme="minorHAnsi" w:eastAsia="Times New Roman" w:hAnsiTheme="minorHAnsi" w:cstheme="minorHAnsi"/>
                <w:b/>
                <w:bCs/>
                <w:color w:val="1F497D"/>
                <w:sz w:val="20"/>
                <w:szCs w:val="20"/>
                <w:lang w:eastAsia="it-IT"/>
              </w:rPr>
            </w:pPr>
            <w:r w:rsidRPr="00CF36FD">
              <w:rPr>
                <w:rFonts w:asciiTheme="minorHAnsi" w:eastAsia="Times New Roman" w:hAnsiTheme="minorHAnsi" w:cstheme="minorHAnsi"/>
                <w:b/>
                <w:bCs/>
                <w:color w:val="1F497D"/>
                <w:sz w:val="20"/>
                <w:szCs w:val="20"/>
                <w:lang w:eastAsia="it-IT"/>
              </w:rPr>
              <w:t>-17.4</w:t>
            </w:r>
          </w:p>
        </w:tc>
        <w:tc>
          <w:tcPr>
            <w:tcW w:w="1178" w:type="dxa"/>
            <w:tcBorders>
              <w:top w:val="nil"/>
              <w:left w:val="nil"/>
              <w:bottom w:val="single" w:sz="12" w:space="0" w:color="1F497D"/>
              <w:right w:val="nil"/>
            </w:tcBorders>
            <w:shd w:val="clear" w:color="auto" w:fill="auto"/>
            <w:noWrap/>
            <w:vAlign w:val="center"/>
            <w:hideMark/>
          </w:tcPr>
          <w:p w:rsidR="00D66F0A" w:rsidRPr="00CF36FD" w:rsidRDefault="00D66F0A" w:rsidP="00D66F0A">
            <w:pPr>
              <w:jc w:val="center"/>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221,311</w:t>
            </w:r>
          </w:p>
        </w:tc>
        <w:tc>
          <w:tcPr>
            <w:tcW w:w="1239" w:type="dxa"/>
            <w:tcBorders>
              <w:top w:val="nil"/>
              <w:left w:val="nil"/>
              <w:bottom w:val="single" w:sz="12" w:space="0" w:color="1F497D"/>
              <w:right w:val="nil"/>
            </w:tcBorders>
            <w:shd w:val="clear" w:color="auto" w:fill="auto"/>
            <w:noWrap/>
            <w:vAlign w:val="center"/>
            <w:hideMark/>
          </w:tcPr>
          <w:p w:rsidR="00D66F0A" w:rsidRPr="00CF36FD" w:rsidRDefault="00D66F0A" w:rsidP="00D66F0A">
            <w:pPr>
              <w:jc w:val="center"/>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3.2</w:t>
            </w:r>
          </w:p>
        </w:tc>
      </w:tr>
    </w:tbl>
    <w:p w:rsidR="00984F43" w:rsidRPr="00984F43" w:rsidRDefault="00984F43" w:rsidP="00984F43">
      <w:pPr>
        <w:spacing w:after="120"/>
        <w:rPr>
          <w:rFonts w:asciiTheme="majorHAnsi" w:hAnsiTheme="majorHAnsi"/>
          <w:sz w:val="18"/>
          <w:szCs w:val="18"/>
          <w:lang w:val="en-US"/>
        </w:rPr>
      </w:pPr>
      <w:r w:rsidRPr="00984F43">
        <w:rPr>
          <w:rFonts w:asciiTheme="majorHAnsi" w:hAnsiTheme="majorHAnsi"/>
          <w:sz w:val="18"/>
          <w:szCs w:val="18"/>
          <w:lang w:val="en-US"/>
        </w:rPr>
        <w:t xml:space="preserve">* Variation calculated on </w:t>
      </w:r>
      <w:proofErr w:type="spellStart"/>
      <w:r w:rsidRPr="00984F43">
        <w:rPr>
          <w:rFonts w:asciiTheme="majorHAnsi" w:hAnsiTheme="majorHAnsi"/>
          <w:sz w:val="18"/>
          <w:szCs w:val="18"/>
          <w:lang w:val="en-US"/>
        </w:rPr>
        <w:t>chainlinked</w:t>
      </w:r>
      <w:proofErr w:type="spellEnd"/>
      <w:r w:rsidRPr="00984F43">
        <w:rPr>
          <w:rFonts w:asciiTheme="majorHAnsi" w:hAnsiTheme="majorHAnsi"/>
          <w:sz w:val="18"/>
          <w:szCs w:val="18"/>
          <w:lang w:val="en-US"/>
        </w:rPr>
        <w:t xml:space="preserve"> values (reference year 2010)</w:t>
      </w:r>
    </w:p>
    <w:p w:rsidR="00D4748D" w:rsidRPr="00D4748D" w:rsidRDefault="00D4748D" w:rsidP="00D4748D">
      <w:pPr>
        <w:spacing w:after="120"/>
        <w:rPr>
          <w:rFonts w:asciiTheme="majorHAnsi" w:hAnsiTheme="majorHAnsi"/>
          <w:sz w:val="18"/>
          <w:szCs w:val="18"/>
          <w:lang w:val="en-US"/>
        </w:rPr>
      </w:pPr>
      <w:r>
        <w:rPr>
          <w:rFonts w:asciiTheme="majorHAnsi" w:hAnsiTheme="majorHAnsi"/>
          <w:sz w:val="18"/>
          <w:szCs w:val="18"/>
          <w:lang w:val="en-US"/>
        </w:rPr>
        <w:t>Source</w:t>
      </w:r>
      <w:r w:rsidRPr="00D4748D">
        <w:rPr>
          <w:rFonts w:asciiTheme="majorHAnsi" w:hAnsiTheme="majorHAnsi"/>
          <w:sz w:val="18"/>
          <w:szCs w:val="18"/>
          <w:lang w:val="en-US"/>
        </w:rPr>
        <w:t xml:space="preserve">: Confindustria and SRM elaborations on </w:t>
      </w:r>
      <w:proofErr w:type="spellStart"/>
      <w:r>
        <w:rPr>
          <w:rFonts w:asciiTheme="majorHAnsi" w:hAnsiTheme="majorHAnsi"/>
          <w:sz w:val="18"/>
          <w:szCs w:val="18"/>
          <w:lang w:val="en-US"/>
        </w:rPr>
        <w:t>Svimez</w:t>
      </w:r>
      <w:proofErr w:type="spellEnd"/>
      <w:r w:rsidRPr="00D4748D">
        <w:rPr>
          <w:rFonts w:asciiTheme="majorHAnsi" w:hAnsiTheme="majorHAnsi"/>
          <w:sz w:val="18"/>
          <w:szCs w:val="18"/>
          <w:lang w:val="en-US"/>
        </w:rPr>
        <w:t xml:space="preserve"> data</w:t>
      </w:r>
    </w:p>
    <w:p w:rsidR="00FD16D3" w:rsidRPr="00D4748D" w:rsidRDefault="00FD16D3" w:rsidP="007F4FFE">
      <w:pPr>
        <w:shd w:val="clear" w:color="auto" w:fill="FFFFFF"/>
        <w:spacing w:after="120"/>
        <w:rPr>
          <w:rFonts w:asciiTheme="majorHAnsi" w:hAnsiTheme="majorHAnsi"/>
          <w:b/>
          <w:lang w:val="en-US"/>
        </w:rPr>
      </w:pPr>
    </w:p>
    <w:p w:rsidR="003D358C" w:rsidRPr="005A140F" w:rsidRDefault="003D358C" w:rsidP="003D358C">
      <w:pPr>
        <w:shd w:val="clear" w:color="auto" w:fill="FFFFFF"/>
        <w:spacing w:after="120"/>
        <w:rPr>
          <w:rFonts w:asciiTheme="majorHAnsi" w:hAnsiTheme="majorHAnsi"/>
          <w:b/>
          <w:lang w:val="en-GB"/>
        </w:rPr>
      </w:pPr>
      <w:r w:rsidRPr="00ED4C07">
        <w:rPr>
          <w:rFonts w:asciiTheme="majorHAnsi" w:hAnsiTheme="majorHAnsi"/>
          <w:b/>
          <w:lang w:val="en-GB"/>
        </w:rPr>
        <w:t xml:space="preserve">Active companies and capital societies in Southern regions, III trimester 2016 and 2017 (absolute values and percentage variations) </w:t>
      </w:r>
    </w:p>
    <w:tbl>
      <w:tblPr>
        <w:tblW w:w="9781" w:type="dxa"/>
        <w:tblInd w:w="70" w:type="dxa"/>
        <w:tblCellMar>
          <w:left w:w="70" w:type="dxa"/>
          <w:right w:w="70" w:type="dxa"/>
        </w:tblCellMar>
        <w:tblLook w:val="04A0" w:firstRow="1" w:lastRow="0" w:firstColumn="1" w:lastColumn="0" w:noHBand="0" w:noVBand="1"/>
      </w:tblPr>
      <w:tblGrid>
        <w:gridCol w:w="1985"/>
        <w:gridCol w:w="1447"/>
        <w:gridCol w:w="1371"/>
        <w:gridCol w:w="1009"/>
        <w:gridCol w:w="1349"/>
        <w:gridCol w:w="1214"/>
        <w:gridCol w:w="1406"/>
      </w:tblGrid>
      <w:tr w:rsidR="00D66F0A" w:rsidRPr="00CF36FD" w:rsidTr="00C33F57">
        <w:trPr>
          <w:trHeight w:val="242"/>
        </w:trPr>
        <w:tc>
          <w:tcPr>
            <w:tcW w:w="1985" w:type="dxa"/>
            <w:tcBorders>
              <w:top w:val="nil"/>
              <w:left w:val="nil"/>
              <w:bottom w:val="nil"/>
              <w:right w:val="nil"/>
            </w:tcBorders>
            <w:shd w:val="clear" w:color="000000" w:fill="4F6228"/>
            <w:noWrap/>
            <w:vAlign w:val="center"/>
            <w:hideMark/>
          </w:tcPr>
          <w:p w:rsidR="00D66F0A" w:rsidRPr="003D358C" w:rsidRDefault="00D66F0A" w:rsidP="00D66F0A">
            <w:pPr>
              <w:jc w:val="left"/>
              <w:rPr>
                <w:rFonts w:asciiTheme="majorHAnsi" w:eastAsia="Times New Roman" w:hAnsiTheme="majorHAnsi"/>
                <w:color w:val="000000"/>
                <w:sz w:val="18"/>
                <w:szCs w:val="18"/>
                <w:lang w:val="en-US" w:eastAsia="it-IT"/>
              </w:rPr>
            </w:pPr>
            <w:r w:rsidRPr="003D358C">
              <w:rPr>
                <w:rFonts w:asciiTheme="majorHAnsi" w:eastAsia="Times New Roman" w:hAnsiTheme="majorHAnsi"/>
                <w:color w:val="000000"/>
                <w:sz w:val="18"/>
                <w:szCs w:val="18"/>
                <w:lang w:val="en-US" w:eastAsia="it-IT"/>
              </w:rPr>
              <w:t> </w:t>
            </w:r>
          </w:p>
        </w:tc>
        <w:tc>
          <w:tcPr>
            <w:tcW w:w="3827" w:type="dxa"/>
            <w:gridSpan w:val="3"/>
            <w:tcBorders>
              <w:top w:val="nil"/>
              <w:left w:val="nil"/>
              <w:bottom w:val="nil"/>
              <w:right w:val="nil"/>
            </w:tcBorders>
            <w:shd w:val="clear" w:color="000000" w:fill="4F6228"/>
            <w:noWrap/>
            <w:vAlign w:val="center"/>
            <w:hideMark/>
          </w:tcPr>
          <w:p w:rsidR="00D66F0A" w:rsidRPr="00CF36FD" w:rsidRDefault="00D66F0A" w:rsidP="00D66F0A">
            <w:pPr>
              <w:jc w:val="center"/>
              <w:rPr>
                <w:rFonts w:asciiTheme="majorHAnsi" w:eastAsia="Times New Roman" w:hAnsiTheme="majorHAnsi" w:cs="Calibri"/>
                <w:color w:val="FFFFFF"/>
                <w:sz w:val="18"/>
                <w:szCs w:val="18"/>
                <w:lang w:eastAsia="it-IT"/>
              </w:rPr>
            </w:pPr>
            <w:r w:rsidRPr="00CF36FD">
              <w:rPr>
                <w:rFonts w:asciiTheme="majorHAnsi" w:eastAsia="Times New Roman" w:hAnsiTheme="majorHAnsi" w:cs="Calibri"/>
                <w:color w:val="FFFFFF"/>
                <w:sz w:val="18"/>
                <w:szCs w:val="18"/>
                <w:lang w:eastAsia="it-IT"/>
              </w:rPr>
              <w:t>Companies</w:t>
            </w:r>
          </w:p>
        </w:tc>
        <w:tc>
          <w:tcPr>
            <w:tcW w:w="3969" w:type="dxa"/>
            <w:gridSpan w:val="3"/>
            <w:tcBorders>
              <w:top w:val="nil"/>
              <w:left w:val="nil"/>
              <w:bottom w:val="nil"/>
              <w:right w:val="nil"/>
            </w:tcBorders>
            <w:shd w:val="clear" w:color="000000" w:fill="4F6228"/>
            <w:noWrap/>
            <w:vAlign w:val="center"/>
            <w:hideMark/>
          </w:tcPr>
          <w:p w:rsidR="00D66F0A" w:rsidRPr="00CF36FD" w:rsidRDefault="00D66F0A" w:rsidP="00D66F0A">
            <w:pPr>
              <w:jc w:val="center"/>
              <w:rPr>
                <w:rFonts w:asciiTheme="majorHAnsi" w:eastAsia="Times New Roman" w:hAnsiTheme="majorHAnsi" w:cs="Calibri"/>
                <w:color w:val="FFFFFF"/>
                <w:sz w:val="18"/>
                <w:szCs w:val="18"/>
                <w:lang w:eastAsia="it-IT"/>
              </w:rPr>
            </w:pPr>
            <w:r w:rsidRPr="00CF36FD">
              <w:rPr>
                <w:rFonts w:asciiTheme="majorHAnsi" w:eastAsia="Times New Roman" w:hAnsiTheme="majorHAnsi" w:cs="Calibri"/>
                <w:color w:val="FFFFFF"/>
                <w:sz w:val="18"/>
                <w:szCs w:val="18"/>
                <w:lang w:eastAsia="it-IT"/>
              </w:rPr>
              <w:t>Limited company</w:t>
            </w:r>
          </w:p>
        </w:tc>
      </w:tr>
      <w:tr w:rsidR="00D66F0A" w:rsidRPr="00F618D8" w:rsidTr="00C33F57">
        <w:trPr>
          <w:trHeight w:val="725"/>
        </w:trPr>
        <w:tc>
          <w:tcPr>
            <w:tcW w:w="1985" w:type="dxa"/>
            <w:tcBorders>
              <w:top w:val="nil"/>
              <w:left w:val="nil"/>
              <w:bottom w:val="nil"/>
              <w:right w:val="nil"/>
            </w:tcBorders>
            <w:shd w:val="clear" w:color="000000" w:fill="4F6228"/>
            <w:noWrap/>
            <w:vAlign w:val="center"/>
            <w:hideMark/>
          </w:tcPr>
          <w:p w:rsidR="00D66F0A" w:rsidRPr="00CF36FD" w:rsidRDefault="00D66F0A" w:rsidP="00D66F0A">
            <w:pPr>
              <w:jc w:val="lef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 </w:t>
            </w:r>
          </w:p>
        </w:tc>
        <w:tc>
          <w:tcPr>
            <w:tcW w:w="1447" w:type="dxa"/>
            <w:tcBorders>
              <w:top w:val="nil"/>
              <w:left w:val="nil"/>
              <w:bottom w:val="nil"/>
              <w:right w:val="nil"/>
            </w:tcBorders>
            <w:shd w:val="clear" w:color="000000" w:fill="4F6228"/>
            <w:noWrap/>
            <w:vAlign w:val="center"/>
            <w:hideMark/>
          </w:tcPr>
          <w:p w:rsidR="00D66F0A" w:rsidRPr="00CF36FD" w:rsidRDefault="00D66F0A" w:rsidP="00D66F0A">
            <w:pPr>
              <w:jc w:val="center"/>
              <w:rPr>
                <w:rFonts w:asciiTheme="majorHAnsi" w:eastAsia="Times New Roman" w:hAnsiTheme="majorHAnsi" w:cs="Calibri"/>
                <w:color w:val="FFFFFF"/>
                <w:sz w:val="18"/>
                <w:szCs w:val="18"/>
                <w:lang w:eastAsia="it-IT"/>
              </w:rPr>
            </w:pPr>
            <w:r w:rsidRPr="00CF36FD">
              <w:rPr>
                <w:rFonts w:asciiTheme="majorHAnsi" w:eastAsia="Times New Roman" w:hAnsiTheme="majorHAnsi" w:cs="Calibri"/>
                <w:color w:val="FFFFFF"/>
                <w:sz w:val="18"/>
                <w:szCs w:val="18"/>
                <w:lang w:eastAsia="it-IT"/>
              </w:rPr>
              <w:t>III Q 2016</w:t>
            </w:r>
          </w:p>
        </w:tc>
        <w:tc>
          <w:tcPr>
            <w:tcW w:w="1371" w:type="dxa"/>
            <w:tcBorders>
              <w:top w:val="nil"/>
              <w:left w:val="nil"/>
              <w:bottom w:val="nil"/>
              <w:right w:val="nil"/>
            </w:tcBorders>
            <w:shd w:val="clear" w:color="000000" w:fill="4F6228"/>
            <w:noWrap/>
            <w:vAlign w:val="center"/>
            <w:hideMark/>
          </w:tcPr>
          <w:p w:rsidR="00D66F0A" w:rsidRPr="00CF36FD" w:rsidRDefault="00D66F0A" w:rsidP="00D66F0A">
            <w:pPr>
              <w:jc w:val="center"/>
              <w:rPr>
                <w:rFonts w:asciiTheme="majorHAnsi" w:eastAsia="Times New Roman" w:hAnsiTheme="majorHAnsi" w:cs="Calibri"/>
                <w:color w:val="FFFFFF"/>
                <w:sz w:val="18"/>
                <w:szCs w:val="18"/>
                <w:lang w:eastAsia="it-IT"/>
              </w:rPr>
            </w:pPr>
            <w:r w:rsidRPr="00CF36FD">
              <w:rPr>
                <w:rFonts w:asciiTheme="majorHAnsi" w:eastAsia="Times New Roman" w:hAnsiTheme="majorHAnsi" w:cs="Calibri"/>
                <w:color w:val="FFFFFF"/>
                <w:sz w:val="18"/>
                <w:szCs w:val="18"/>
                <w:lang w:eastAsia="it-IT"/>
              </w:rPr>
              <w:t>III Q 2017</w:t>
            </w:r>
          </w:p>
        </w:tc>
        <w:tc>
          <w:tcPr>
            <w:tcW w:w="1009" w:type="dxa"/>
            <w:tcBorders>
              <w:top w:val="nil"/>
              <w:left w:val="nil"/>
              <w:bottom w:val="nil"/>
              <w:right w:val="nil"/>
            </w:tcBorders>
            <w:shd w:val="clear" w:color="000000" w:fill="4F6228"/>
            <w:vAlign w:val="center"/>
            <w:hideMark/>
          </w:tcPr>
          <w:p w:rsidR="00D66F0A" w:rsidRPr="00F90BE6" w:rsidRDefault="00D66F0A" w:rsidP="00D66F0A">
            <w:pPr>
              <w:jc w:val="center"/>
              <w:rPr>
                <w:rFonts w:asciiTheme="majorHAnsi" w:eastAsia="Times New Roman" w:hAnsiTheme="majorHAnsi" w:cs="Calibri"/>
                <w:color w:val="FFFFFF"/>
                <w:sz w:val="18"/>
                <w:szCs w:val="18"/>
                <w:lang w:val="fr-FR" w:eastAsia="it-IT"/>
              </w:rPr>
            </w:pPr>
            <w:r w:rsidRPr="00F90BE6">
              <w:rPr>
                <w:rFonts w:asciiTheme="majorHAnsi" w:eastAsia="Times New Roman" w:hAnsiTheme="majorHAnsi" w:cs="Calibri"/>
                <w:color w:val="FFFFFF"/>
                <w:sz w:val="18"/>
                <w:szCs w:val="18"/>
                <w:lang w:val="fr-FR" w:eastAsia="it-IT"/>
              </w:rPr>
              <w:t>Var. %</w:t>
            </w:r>
            <w:r w:rsidRPr="00F90BE6">
              <w:rPr>
                <w:rFonts w:asciiTheme="majorHAnsi" w:eastAsia="Times New Roman" w:hAnsiTheme="majorHAnsi" w:cs="Calibri"/>
                <w:color w:val="FFFFFF"/>
                <w:sz w:val="18"/>
                <w:szCs w:val="18"/>
                <w:lang w:val="fr-FR" w:eastAsia="it-IT"/>
              </w:rPr>
              <w:br/>
              <w:t>III Q '16/III Q '17</w:t>
            </w:r>
          </w:p>
        </w:tc>
        <w:tc>
          <w:tcPr>
            <w:tcW w:w="1349" w:type="dxa"/>
            <w:tcBorders>
              <w:top w:val="nil"/>
              <w:left w:val="nil"/>
              <w:bottom w:val="nil"/>
              <w:right w:val="nil"/>
            </w:tcBorders>
            <w:shd w:val="clear" w:color="000000" w:fill="4F6228"/>
            <w:noWrap/>
            <w:vAlign w:val="center"/>
            <w:hideMark/>
          </w:tcPr>
          <w:p w:rsidR="00D66F0A" w:rsidRPr="00CF36FD" w:rsidRDefault="00D66F0A" w:rsidP="00D66F0A">
            <w:pPr>
              <w:jc w:val="center"/>
              <w:rPr>
                <w:rFonts w:asciiTheme="majorHAnsi" w:eastAsia="Times New Roman" w:hAnsiTheme="majorHAnsi" w:cs="Calibri"/>
                <w:color w:val="FFFFFF"/>
                <w:sz w:val="18"/>
                <w:szCs w:val="18"/>
                <w:lang w:eastAsia="it-IT"/>
              </w:rPr>
            </w:pPr>
            <w:r w:rsidRPr="00CF36FD">
              <w:rPr>
                <w:rFonts w:asciiTheme="majorHAnsi" w:eastAsia="Times New Roman" w:hAnsiTheme="majorHAnsi" w:cs="Calibri"/>
                <w:color w:val="FFFFFF"/>
                <w:sz w:val="18"/>
                <w:szCs w:val="18"/>
                <w:lang w:eastAsia="it-IT"/>
              </w:rPr>
              <w:t>III Q 2016</w:t>
            </w:r>
          </w:p>
        </w:tc>
        <w:tc>
          <w:tcPr>
            <w:tcW w:w="1214" w:type="dxa"/>
            <w:tcBorders>
              <w:top w:val="nil"/>
              <w:left w:val="nil"/>
              <w:bottom w:val="nil"/>
              <w:right w:val="nil"/>
            </w:tcBorders>
            <w:shd w:val="clear" w:color="000000" w:fill="4F6228"/>
            <w:noWrap/>
            <w:vAlign w:val="center"/>
            <w:hideMark/>
          </w:tcPr>
          <w:p w:rsidR="00D66F0A" w:rsidRPr="00CF36FD" w:rsidRDefault="00D66F0A" w:rsidP="00D66F0A">
            <w:pPr>
              <w:jc w:val="center"/>
              <w:rPr>
                <w:rFonts w:asciiTheme="majorHAnsi" w:eastAsia="Times New Roman" w:hAnsiTheme="majorHAnsi" w:cs="Calibri"/>
                <w:color w:val="FFFFFF"/>
                <w:sz w:val="18"/>
                <w:szCs w:val="18"/>
                <w:lang w:eastAsia="it-IT"/>
              </w:rPr>
            </w:pPr>
            <w:r w:rsidRPr="00CF36FD">
              <w:rPr>
                <w:rFonts w:asciiTheme="majorHAnsi" w:eastAsia="Times New Roman" w:hAnsiTheme="majorHAnsi" w:cs="Calibri"/>
                <w:color w:val="FFFFFF"/>
                <w:sz w:val="18"/>
                <w:szCs w:val="18"/>
                <w:lang w:eastAsia="it-IT"/>
              </w:rPr>
              <w:t>III Q 2017</w:t>
            </w:r>
          </w:p>
        </w:tc>
        <w:tc>
          <w:tcPr>
            <w:tcW w:w="1406" w:type="dxa"/>
            <w:tcBorders>
              <w:top w:val="nil"/>
              <w:left w:val="nil"/>
              <w:bottom w:val="nil"/>
              <w:right w:val="nil"/>
            </w:tcBorders>
            <w:shd w:val="clear" w:color="000000" w:fill="4F6228"/>
            <w:vAlign w:val="center"/>
            <w:hideMark/>
          </w:tcPr>
          <w:p w:rsidR="00D66F0A" w:rsidRPr="00F90BE6" w:rsidRDefault="00D66F0A" w:rsidP="00D66F0A">
            <w:pPr>
              <w:jc w:val="center"/>
              <w:rPr>
                <w:rFonts w:asciiTheme="majorHAnsi" w:eastAsia="Times New Roman" w:hAnsiTheme="majorHAnsi" w:cs="Calibri"/>
                <w:color w:val="FFFFFF"/>
                <w:sz w:val="18"/>
                <w:szCs w:val="18"/>
                <w:lang w:val="fr-FR" w:eastAsia="it-IT"/>
              </w:rPr>
            </w:pPr>
            <w:r w:rsidRPr="00F90BE6">
              <w:rPr>
                <w:rFonts w:asciiTheme="majorHAnsi" w:eastAsia="Times New Roman" w:hAnsiTheme="majorHAnsi" w:cs="Calibri"/>
                <w:color w:val="FFFFFF"/>
                <w:sz w:val="18"/>
                <w:szCs w:val="18"/>
                <w:lang w:val="fr-FR" w:eastAsia="it-IT"/>
              </w:rPr>
              <w:t>Var. %</w:t>
            </w:r>
            <w:r w:rsidRPr="00F90BE6">
              <w:rPr>
                <w:rFonts w:asciiTheme="majorHAnsi" w:eastAsia="Times New Roman" w:hAnsiTheme="majorHAnsi" w:cs="Calibri"/>
                <w:color w:val="FFFFFF"/>
                <w:sz w:val="18"/>
                <w:szCs w:val="18"/>
                <w:lang w:val="fr-FR" w:eastAsia="it-IT"/>
              </w:rPr>
              <w:br/>
              <w:t>III Q '16/III Q '17</w:t>
            </w:r>
          </w:p>
        </w:tc>
      </w:tr>
      <w:tr w:rsidR="00D66F0A" w:rsidRPr="00CF36FD" w:rsidTr="00C33F57">
        <w:trPr>
          <w:trHeight w:val="242"/>
        </w:trPr>
        <w:tc>
          <w:tcPr>
            <w:tcW w:w="1985" w:type="dxa"/>
            <w:tcBorders>
              <w:top w:val="nil"/>
              <w:left w:val="nil"/>
              <w:bottom w:val="nil"/>
              <w:right w:val="nil"/>
            </w:tcBorders>
            <w:shd w:val="clear" w:color="auto" w:fill="auto"/>
            <w:noWrap/>
            <w:vAlign w:val="center"/>
            <w:hideMark/>
          </w:tcPr>
          <w:p w:rsidR="00D66F0A" w:rsidRPr="00CF36FD" w:rsidRDefault="00D66F0A" w:rsidP="00D66F0A">
            <w:pPr>
              <w:jc w:val="lef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Abruzzo</w:t>
            </w:r>
          </w:p>
        </w:tc>
        <w:tc>
          <w:tcPr>
            <w:tcW w:w="1447" w:type="dxa"/>
            <w:tcBorders>
              <w:top w:val="nil"/>
              <w:left w:val="nil"/>
              <w:bottom w:val="nil"/>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sz w:val="18"/>
                <w:szCs w:val="18"/>
                <w:lang w:eastAsia="it-IT"/>
              </w:rPr>
            </w:pPr>
            <w:r w:rsidRPr="00CF36FD">
              <w:rPr>
                <w:rFonts w:asciiTheme="majorHAnsi" w:eastAsia="Times New Roman" w:hAnsiTheme="majorHAnsi" w:cs="Calibri"/>
                <w:sz w:val="18"/>
                <w:szCs w:val="18"/>
                <w:lang w:eastAsia="it-IT"/>
              </w:rPr>
              <w:t>127,303</w:t>
            </w:r>
          </w:p>
        </w:tc>
        <w:tc>
          <w:tcPr>
            <w:tcW w:w="1371" w:type="dxa"/>
            <w:tcBorders>
              <w:top w:val="nil"/>
              <w:left w:val="nil"/>
              <w:bottom w:val="nil"/>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sz w:val="18"/>
                <w:szCs w:val="18"/>
                <w:lang w:eastAsia="it-IT"/>
              </w:rPr>
            </w:pPr>
            <w:r w:rsidRPr="00CF36FD">
              <w:rPr>
                <w:rFonts w:asciiTheme="majorHAnsi" w:eastAsia="Times New Roman" w:hAnsiTheme="majorHAnsi" w:cs="Calibri"/>
                <w:sz w:val="18"/>
                <w:szCs w:val="18"/>
                <w:lang w:eastAsia="it-IT"/>
              </w:rPr>
              <w:t>126,817</w:t>
            </w:r>
          </w:p>
        </w:tc>
        <w:tc>
          <w:tcPr>
            <w:tcW w:w="1009" w:type="dxa"/>
            <w:tcBorders>
              <w:top w:val="nil"/>
              <w:left w:val="nil"/>
              <w:bottom w:val="nil"/>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-0.4</w:t>
            </w:r>
          </w:p>
        </w:tc>
        <w:tc>
          <w:tcPr>
            <w:tcW w:w="1349" w:type="dxa"/>
            <w:tcBorders>
              <w:top w:val="nil"/>
              <w:left w:val="nil"/>
              <w:bottom w:val="nil"/>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 xml:space="preserve">             23,014 </w:t>
            </w:r>
          </w:p>
        </w:tc>
        <w:tc>
          <w:tcPr>
            <w:tcW w:w="1214" w:type="dxa"/>
            <w:tcBorders>
              <w:top w:val="nil"/>
              <w:left w:val="nil"/>
              <w:bottom w:val="nil"/>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 xml:space="preserve">        24,167 </w:t>
            </w:r>
          </w:p>
        </w:tc>
        <w:tc>
          <w:tcPr>
            <w:tcW w:w="1406" w:type="dxa"/>
            <w:tcBorders>
              <w:top w:val="nil"/>
              <w:left w:val="nil"/>
              <w:bottom w:val="nil"/>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5.0</w:t>
            </w:r>
          </w:p>
        </w:tc>
      </w:tr>
      <w:tr w:rsidR="00D66F0A" w:rsidRPr="00CF36FD" w:rsidTr="00C33F57">
        <w:trPr>
          <w:trHeight w:val="242"/>
        </w:trPr>
        <w:tc>
          <w:tcPr>
            <w:tcW w:w="1985" w:type="dxa"/>
            <w:tcBorders>
              <w:top w:val="nil"/>
              <w:left w:val="nil"/>
              <w:bottom w:val="nil"/>
              <w:right w:val="nil"/>
            </w:tcBorders>
            <w:shd w:val="clear" w:color="auto" w:fill="auto"/>
            <w:noWrap/>
            <w:vAlign w:val="center"/>
            <w:hideMark/>
          </w:tcPr>
          <w:p w:rsidR="00D66F0A" w:rsidRPr="00CF36FD" w:rsidRDefault="00D66F0A" w:rsidP="00D66F0A">
            <w:pPr>
              <w:jc w:val="lef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Basilicata</w:t>
            </w:r>
          </w:p>
        </w:tc>
        <w:tc>
          <w:tcPr>
            <w:tcW w:w="1447" w:type="dxa"/>
            <w:tcBorders>
              <w:top w:val="nil"/>
              <w:left w:val="nil"/>
              <w:bottom w:val="nil"/>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sz w:val="18"/>
                <w:szCs w:val="18"/>
                <w:lang w:eastAsia="it-IT"/>
              </w:rPr>
            </w:pPr>
            <w:r w:rsidRPr="00CF36FD">
              <w:rPr>
                <w:rFonts w:asciiTheme="majorHAnsi" w:eastAsia="Times New Roman" w:hAnsiTheme="majorHAnsi" w:cs="Calibri"/>
                <w:sz w:val="18"/>
                <w:szCs w:val="18"/>
                <w:lang w:eastAsia="it-IT"/>
              </w:rPr>
              <w:t xml:space="preserve">                52,666 </w:t>
            </w:r>
          </w:p>
        </w:tc>
        <w:tc>
          <w:tcPr>
            <w:tcW w:w="1371" w:type="dxa"/>
            <w:tcBorders>
              <w:top w:val="nil"/>
              <w:left w:val="nil"/>
              <w:bottom w:val="nil"/>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sz w:val="18"/>
                <w:szCs w:val="18"/>
                <w:lang w:eastAsia="it-IT"/>
              </w:rPr>
            </w:pPr>
            <w:r w:rsidRPr="00CF36FD">
              <w:rPr>
                <w:rFonts w:asciiTheme="majorHAnsi" w:eastAsia="Times New Roman" w:hAnsiTheme="majorHAnsi" w:cs="Calibri"/>
                <w:sz w:val="18"/>
                <w:szCs w:val="18"/>
                <w:lang w:eastAsia="it-IT"/>
              </w:rPr>
              <w:t xml:space="preserve">           53,028 </w:t>
            </w:r>
          </w:p>
        </w:tc>
        <w:tc>
          <w:tcPr>
            <w:tcW w:w="1009" w:type="dxa"/>
            <w:tcBorders>
              <w:top w:val="nil"/>
              <w:left w:val="nil"/>
              <w:bottom w:val="nil"/>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0.7</w:t>
            </w:r>
          </w:p>
        </w:tc>
        <w:tc>
          <w:tcPr>
            <w:tcW w:w="1349" w:type="dxa"/>
            <w:tcBorders>
              <w:top w:val="nil"/>
              <w:left w:val="nil"/>
              <w:bottom w:val="nil"/>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 xml:space="preserve">                7,144 </w:t>
            </w:r>
          </w:p>
        </w:tc>
        <w:tc>
          <w:tcPr>
            <w:tcW w:w="1214" w:type="dxa"/>
            <w:tcBorders>
              <w:top w:val="nil"/>
              <w:left w:val="nil"/>
              <w:bottom w:val="nil"/>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 xml:space="preserve">          7,714 </w:t>
            </w:r>
          </w:p>
        </w:tc>
        <w:tc>
          <w:tcPr>
            <w:tcW w:w="1406" w:type="dxa"/>
            <w:tcBorders>
              <w:top w:val="nil"/>
              <w:left w:val="nil"/>
              <w:bottom w:val="nil"/>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8.0</w:t>
            </w:r>
          </w:p>
        </w:tc>
      </w:tr>
      <w:tr w:rsidR="00D66F0A" w:rsidRPr="00CF36FD" w:rsidTr="00C33F57">
        <w:trPr>
          <w:trHeight w:val="242"/>
        </w:trPr>
        <w:tc>
          <w:tcPr>
            <w:tcW w:w="1985" w:type="dxa"/>
            <w:tcBorders>
              <w:top w:val="nil"/>
              <w:left w:val="nil"/>
              <w:bottom w:val="nil"/>
              <w:right w:val="nil"/>
            </w:tcBorders>
            <w:shd w:val="clear" w:color="auto" w:fill="auto"/>
            <w:noWrap/>
            <w:vAlign w:val="center"/>
            <w:hideMark/>
          </w:tcPr>
          <w:p w:rsidR="00D66F0A" w:rsidRPr="00CF36FD" w:rsidRDefault="00D66F0A" w:rsidP="00D66F0A">
            <w:pPr>
              <w:jc w:val="lef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Calabria</w:t>
            </w:r>
          </w:p>
        </w:tc>
        <w:tc>
          <w:tcPr>
            <w:tcW w:w="1447" w:type="dxa"/>
            <w:tcBorders>
              <w:top w:val="nil"/>
              <w:left w:val="nil"/>
              <w:bottom w:val="nil"/>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sz w:val="18"/>
                <w:szCs w:val="18"/>
                <w:lang w:eastAsia="it-IT"/>
              </w:rPr>
            </w:pPr>
            <w:r w:rsidRPr="00CF36FD">
              <w:rPr>
                <w:rFonts w:asciiTheme="majorHAnsi" w:eastAsia="Times New Roman" w:hAnsiTheme="majorHAnsi" w:cs="Calibri"/>
                <w:sz w:val="18"/>
                <w:szCs w:val="18"/>
                <w:lang w:eastAsia="it-IT"/>
              </w:rPr>
              <w:t xml:space="preserve">             157,814 </w:t>
            </w:r>
          </w:p>
        </w:tc>
        <w:tc>
          <w:tcPr>
            <w:tcW w:w="1371" w:type="dxa"/>
            <w:tcBorders>
              <w:top w:val="nil"/>
              <w:left w:val="nil"/>
              <w:bottom w:val="nil"/>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sz w:val="18"/>
                <w:szCs w:val="18"/>
                <w:lang w:eastAsia="it-IT"/>
              </w:rPr>
            </w:pPr>
            <w:r w:rsidRPr="00CF36FD">
              <w:rPr>
                <w:rFonts w:asciiTheme="majorHAnsi" w:eastAsia="Times New Roman" w:hAnsiTheme="majorHAnsi" w:cs="Calibri"/>
                <w:sz w:val="18"/>
                <w:szCs w:val="18"/>
                <w:lang w:eastAsia="it-IT"/>
              </w:rPr>
              <w:t xml:space="preserve">         159,190 </w:t>
            </w:r>
          </w:p>
        </w:tc>
        <w:tc>
          <w:tcPr>
            <w:tcW w:w="1009" w:type="dxa"/>
            <w:tcBorders>
              <w:top w:val="nil"/>
              <w:left w:val="nil"/>
              <w:bottom w:val="nil"/>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0.9</w:t>
            </w:r>
          </w:p>
        </w:tc>
        <w:tc>
          <w:tcPr>
            <w:tcW w:w="1349" w:type="dxa"/>
            <w:tcBorders>
              <w:top w:val="nil"/>
              <w:left w:val="nil"/>
              <w:bottom w:val="nil"/>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 xml:space="preserve">             21,028 </w:t>
            </w:r>
          </w:p>
        </w:tc>
        <w:tc>
          <w:tcPr>
            <w:tcW w:w="1214" w:type="dxa"/>
            <w:tcBorders>
              <w:top w:val="nil"/>
              <w:left w:val="nil"/>
              <w:bottom w:val="nil"/>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 xml:space="preserve">        22,574 </w:t>
            </w:r>
          </w:p>
        </w:tc>
        <w:tc>
          <w:tcPr>
            <w:tcW w:w="1406" w:type="dxa"/>
            <w:tcBorders>
              <w:top w:val="nil"/>
              <w:left w:val="nil"/>
              <w:bottom w:val="nil"/>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7.4</w:t>
            </w:r>
          </w:p>
        </w:tc>
      </w:tr>
      <w:tr w:rsidR="00D66F0A" w:rsidRPr="00CF36FD" w:rsidTr="00C33F57">
        <w:trPr>
          <w:trHeight w:val="242"/>
        </w:trPr>
        <w:tc>
          <w:tcPr>
            <w:tcW w:w="1985" w:type="dxa"/>
            <w:tcBorders>
              <w:top w:val="nil"/>
              <w:left w:val="nil"/>
              <w:bottom w:val="nil"/>
              <w:right w:val="nil"/>
            </w:tcBorders>
            <w:shd w:val="clear" w:color="auto" w:fill="auto"/>
            <w:noWrap/>
            <w:vAlign w:val="center"/>
            <w:hideMark/>
          </w:tcPr>
          <w:p w:rsidR="00D66F0A" w:rsidRPr="00CF36FD" w:rsidRDefault="00D66F0A" w:rsidP="00D66F0A">
            <w:pPr>
              <w:jc w:val="lef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Campania</w:t>
            </w:r>
          </w:p>
        </w:tc>
        <w:tc>
          <w:tcPr>
            <w:tcW w:w="1447" w:type="dxa"/>
            <w:tcBorders>
              <w:top w:val="nil"/>
              <w:left w:val="nil"/>
              <w:bottom w:val="nil"/>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sz w:val="18"/>
                <w:szCs w:val="18"/>
                <w:lang w:eastAsia="it-IT"/>
              </w:rPr>
            </w:pPr>
            <w:r w:rsidRPr="00CF36FD">
              <w:rPr>
                <w:rFonts w:asciiTheme="majorHAnsi" w:eastAsia="Times New Roman" w:hAnsiTheme="majorHAnsi" w:cs="Calibri"/>
                <w:sz w:val="18"/>
                <w:szCs w:val="18"/>
                <w:lang w:eastAsia="it-IT"/>
              </w:rPr>
              <w:t xml:space="preserve">             477,391 </w:t>
            </w:r>
          </w:p>
        </w:tc>
        <w:tc>
          <w:tcPr>
            <w:tcW w:w="1371" w:type="dxa"/>
            <w:tcBorders>
              <w:top w:val="nil"/>
              <w:left w:val="nil"/>
              <w:bottom w:val="nil"/>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sz w:val="18"/>
                <w:szCs w:val="18"/>
                <w:lang w:eastAsia="it-IT"/>
              </w:rPr>
            </w:pPr>
            <w:r w:rsidRPr="00CF36FD">
              <w:rPr>
                <w:rFonts w:asciiTheme="majorHAnsi" w:eastAsia="Times New Roman" w:hAnsiTheme="majorHAnsi" w:cs="Calibri"/>
                <w:sz w:val="18"/>
                <w:szCs w:val="18"/>
                <w:lang w:eastAsia="it-IT"/>
              </w:rPr>
              <w:t xml:space="preserve">         483,358 </w:t>
            </w:r>
          </w:p>
        </w:tc>
        <w:tc>
          <w:tcPr>
            <w:tcW w:w="1009" w:type="dxa"/>
            <w:tcBorders>
              <w:top w:val="nil"/>
              <w:left w:val="nil"/>
              <w:bottom w:val="nil"/>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1.2</w:t>
            </w:r>
          </w:p>
        </w:tc>
        <w:tc>
          <w:tcPr>
            <w:tcW w:w="1349" w:type="dxa"/>
            <w:tcBorders>
              <w:top w:val="nil"/>
              <w:left w:val="nil"/>
              <w:bottom w:val="nil"/>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 xml:space="preserve">           100,685 </w:t>
            </w:r>
          </w:p>
        </w:tc>
        <w:tc>
          <w:tcPr>
            <w:tcW w:w="1214" w:type="dxa"/>
            <w:tcBorders>
              <w:top w:val="nil"/>
              <w:left w:val="nil"/>
              <w:bottom w:val="nil"/>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 xml:space="preserve">     106,905 </w:t>
            </w:r>
          </w:p>
        </w:tc>
        <w:tc>
          <w:tcPr>
            <w:tcW w:w="1406" w:type="dxa"/>
            <w:tcBorders>
              <w:top w:val="nil"/>
              <w:left w:val="nil"/>
              <w:bottom w:val="nil"/>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6.2</w:t>
            </w:r>
          </w:p>
        </w:tc>
      </w:tr>
      <w:tr w:rsidR="00D66F0A" w:rsidRPr="00CF36FD" w:rsidTr="00C33F57">
        <w:trPr>
          <w:trHeight w:val="242"/>
        </w:trPr>
        <w:tc>
          <w:tcPr>
            <w:tcW w:w="1985" w:type="dxa"/>
            <w:tcBorders>
              <w:top w:val="nil"/>
              <w:left w:val="nil"/>
              <w:bottom w:val="nil"/>
              <w:right w:val="nil"/>
            </w:tcBorders>
            <w:shd w:val="clear" w:color="auto" w:fill="auto"/>
            <w:noWrap/>
            <w:vAlign w:val="center"/>
            <w:hideMark/>
          </w:tcPr>
          <w:p w:rsidR="00D66F0A" w:rsidRPr="00CF36FD" w:rsidRDefault="00D66F0A" w:rsidP="00D66F0A">
            <w:pPr>
              <w:jc w:val="lef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Molise</w:t>
            </w:r>
          </w:p>
        </w:tc>
        <w:tc>
          <w:tcPr>
            <w:tcW w:w="1447" w:type="dxa"/>
            <w:tcBorders>
              <w:top w:val="nil"/>
              <w:left w:val="nil"/>
              <w:bottom w:val="nil"/>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sz w:val="18"/>
                <w:szCs w:val="18"/>
                <w:lang w:eastAsia="it-IT"/>
              </w:rPr>
            </w:pPr>
            <w:r w:rsidRPr="00CF36FD">
              <w:rPr>
                <w:rFonts w:asciiTheme="majorHAnsi" w:eastAsia="Times New Roman" w:hAnsiTheme="majorHAnsi" w:cs="Calibri"/>
                <w:sz w:val="18"/>
                <w:szCs w:val="18"/>
                <w:lang w:eastAsia="it-IT"/>
              </w:rPr>
              <w:t xml:space="preserve">                31,127 </w:t>
            </w:r>
          </w:p>
        </w:tc>
        <w:tc>
          <w:tcPr>
            <w:tcW w:w="1371" w:type="dxa"/>
            <w:tcBorders>
              <w:top w:val="nil"/>
              <w:left w:val="nil"/>
              <w:bottom w:val="nil"/>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sz w:val="18"/>
                <w:szCs w:val="18"/>
                <w:lang w:eastAsia="it-IT"/>
              </w:rPr>
            </w:pPr>
            <w:r w:rsidRPr="00CF36FD">
              <w:rPr>
                <w:rFonts w:asciiTheme="majorHAnsi" w:eastAsia="Times New Roman" w:hAnsiTheme="majorHAnsi" w:cs="Calibri"/>
                <w:sz w:val="18"/>
                <w:szCs w:val="18"/>
                <w:lang w:eastAsia="it-IT"/>
              </w:rPr>
              <w:t xml:space="preserve">           31,056 </w:t>
            </w:r>
          </w:p>
        </w:tc>
        <w:tc>
          <w:tcPr>
            <w:tcW w:w="1009" w:type="dxa"/>
            <w:tcBorders>
              <w:top w:val="nil"/>
              <w:left w:val="nil"/>
              <w:bottom w:val="nil"/>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-0.2</w:t>
            </w:r>
          </w:p>
        </w:tc>
        <w:tc>
          <w:tcPr>
            <w:tcW w:w="1349" w:type="dxa"/>
            <w:tcBorders>
              <w:top w:val="nil"/>
              <w:left w:val="nil"/>
              <w:bottom w:val="nil"/>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 xml:space="preserve">                4,562 </w:t>
            </w:r>
          </w:p>
        </w:tc>
        <w:tc>
          <w:tcPr>
            <w:tcW w:w="1214" w:type="dxa"/>
            <w:tcBorders>
              <w:top w:val="nil"/>
              <w:left w:val="nil"/>
              <w:bottom w:val="nil"/>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 xml:space="preserve">          4,824 </w:t>
            </w:r>
          </w:p>
        </w:tc>
        <w:tc>
          <w:tcPr>
            <w:tcW w:w="1406" w:type="dxa"/>
            <w:tcBorders>
              <w:top w:val="nil"/>
              <w:left w:val="nil"/>
              <w:bottom w:val="nil"/>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5.7</w:t>
            </w:r>
          </w:p>
        </w:tc>
      </w:tr>
      <w:tr w:rsidR="00D66F0A" w:rsidRPr="00CF36FD" w:rsidTr="00C33F57">
        <w:trPr>
          <w:trHeight w:val="242"/>
        </w:trPr>
        <w:tc>
          <w:tcPr>
            <w:tcW w:w="1985" w:type="dxa"/>
            <w:tcBorders>
              <w:top w:val="nil"/>
              <w:left w:val="nil"/>
              <w:bottom w:val="nil"/>
              <w:right w:val="nil"/>
            </w:tcBorders>
            <w:shd w:val="clear" w:color="auto" w:fill="auto"/>
            <w:noWrap/>
            <w:vAlign w:val="center"/>
            <w:hideMark/>
          </w:tcPr>
          <w:p w:rsidR="00D66F0A" w:rsidRPr="00CF36FD" w:rsidRDefault="00D66F0A" w:rsidP="00D66F0A">
            <w:pPr>
              <w:jc w:val="lef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Puglia</w:t>
            </w:r>
          </w:p>
        </w:tc>
        <w:tc>
          <w:tcPr>
            <w:tcW w:w="1447" w:type="dxa"/>
            <w:tcBorders>
              <w:top w:val="nil"/>
              <w:left w:val="nil"/>
              <w:bottom w:val="nil"/>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sz w:val="18"/>
                <w:szCs w:val="18"/>
                <w:lang w:eastAsia="it-IT"/>
              </w:rPr>
            </w:pPr>
            <w:r w:rsidRPr="00CF36FD">
              <w:rPr>
                <w:rFonts w:asciiTheme="majorHAnsi" w:eastAsia="Times New Roman" w:hAnsiTheme="majorHAnsi" w:cs="Calibri"/>
                <w:sz w:val="18"/>
                <w:szCs w:val="18"/>
                <w:lang w:eastAsia="it-IT"/>
              </w:rPr>
              <w:t xml:space="preserve">             330,637 </w:t>
            </w:r>
          </w:p>
        </w:tc>
        <w:tc>
          <w:tcPr>
            <w:tcW w:w="1371" w:type="dxa"/>
            <w:tcBorders>
              <w:top w:val="nil"/>
              <w:left w:val="nil"/>
              <w:bottom w:val="nil"/>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sz w:val="18"/>
                <w:szCs w:val="18"/>
                <w:lang w:eastAsia="it-IT"/>
              </w:rPr>
            </w:pPr>
            <w:r w:rsidRPr="00CF36FD">
              <w:rPr>
                <w:rFonts w:asciiTheme="majorHAnsi" w:eastAsia="Times New Roman" w:hAnsiTheme="majorHAnsi" w:cs="Calibri"/>
                <w:sz w:val="18"/>
                <w:szCs w:val="18"/>
                <w:lang w:eastAsia="it-IT"/>
              </w:rPr>
              <w:t xml:space="preserve">         328,830 </w:t>
            </w:r>
          </w:p>
        </w:tc>
        <w:tc>
          <w:tcPr>
            <w:tcW w:w="1009" w:type="dxa"/>
            <w:tcBorders>
              <w:top w:val="nil"/>
              <w:left w:val="nil"/>
              <w:bottom w:val="nil"/>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-0.5</w:t>
            </w:r>
          </w:p>
        </w:tc>
        <w:tc>
          <w:tcPr>
            <w:tcW w:w="1349" w:type="dxa"/>
            <w:tcBorders>
              <w:top w:val="nil"/>
              <w:left w:val="nil"/>
              <w:bottom w:val="nil"/>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 xml:space="preserve">             52,787 </w:t>
            </w:r>
          </w:p>
        </w:tc>
        <w:tc>
          <w:tcPr>
            <w:tcW w:w="1214" w:type="dxa"/>
            <w:tcBorders>
              <w:top w:val="nil"/>
              <w:left w:val="nil"/>
              <w:bottom w:val="nil"/>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 xml:space="preserve">        55,462 </w:t>
            </w:r>
          </w:p>
        </w:tc>
        <w:tc>
          <w:tcPr>
            <w:tcW w:w="1406" w:type="dxa"/>
            <w:tcBorders>
              <w:top w:val="nil"/>
              <w:left w:val="nil"/>
              <w:bottom w:val="nil"/>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5.1</w:t>
            </w:r>
          </w:p>
        </w:tc>
      </w:tr>
      <w:tr w:rsidR="00D66F0A" w:rsidRPr="00CF36FD" w:rsidTr="00C33F57">
        <w:trPr>
          <w:trHeight w:val="242"/>
        </w:trPr>
        <w:tc>
          <w:tcPr>
            <w:tcW w:w="1985" w:type="dxa"/>
            <w:tcBorders>
              <w:top w:val="nil"/>
              <w:left w:val="nil"/>
              <w:bottom w:val="nil"/>
              <w:right w:val="nil"/>
            </w:tcBorders>
            <w:shd w:val="clear" w:color="auto" w:fill="auto"/>
            <w:noWrap/>
            <w:vAlign w:val="center"/>
            <w:hideMark/>
          </w:tcPr>
          <w:p w:rsidR="00D66F0A" w:rsidRPr="00CF36FD" w:rsidRDefault="00D66F0A" w:rsidP="00D66F0A">
            <w:pPr>
              <w:jc w:val="lef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Sardegna</w:t>
            </w:r>
          </w:p>
        </w:tc>
        <w:tc>
          <w:tcPr>
            <w:tcW w:w="1447" w:type="dxa"/>
            <w:tcBorders>
              <w:top w:val="nil"/>
              <w:left w:val="nil"/>
              <w:bottom w:val="nil"/>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sz w:val="18"/>
                <w:szCs w:val="18"/>
                <w:lang w:eastAsia="it-IT"/>
              </w:rPr>
            </w:pPr>
            <w:r w:rsidRPr="00CF36FD">
              <w:rPr>
                <w:rFonts w:asciiTheme="majorHAnsi" w:eastAsia="Times New Roman" w:hAnsiTheme="majorHAnsi" w:cs="Calibri"/>
                <w:sz w:val="18"/>
                <w:szCs w:val="18"/>
                <w:lang w:eastAsia="it-IT"/>
              </w:rPr>
              <w:t xml:space="preserve">             143,107 </w:t>
            </w:r>
          </w:p>
        </w:tc>
        <w:tc>
          <w:tcPr>
            <w:tcW w:w="1371" w:type="dxa"/>
            <w:tcBorders>
              <w:top w:val="nil"/>
              <w:left w:val="nil"/>
              <w:bottom w:val="nil"/>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sz w:val="18"/>
                <w:szCs w:val="18"/>
                <w:lang w:eastAsia="it-IT"/>
              </w:rPr>
            </w:pPr>
            <w:r w:rsidRPr="00CF36FD">
              <w:rPr>
                <w:rFonts w:asciiTheme="majorHAnsi" w:eastAsia="Times New Roman" w:hAnsiTheme="majorHAnsi" w:cs="Calibri"/>
                <w:sz w:val="18"/>
                <w:szCs w:val="18"/>
                <w:lang w:eastAsia="it-IT"/>
              </w:rPr>
              <w:t xml:space="preserve">         143,239 </w:t>
            </w:r>
          </w:p>
        </w:tc>
        <w:tc>
          <w:tcPr>
            <w:tcW w:w="1009" w:type="dxa"/>
            <w:tcBorders>
              <w:top w:val="nil"/>
              <w:left w:val="nil"/>
              <w:bottom w:val="nil"/>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0.1</w:t>
            </w:r>
          </w:p>
        </w:tc>
        <w:tc>
          <w:tcPr>
            <w:tcW w:w="1349" w:type="dxa"/>
            <w:tcBorders>
              <w:top w:val="nil"/>
              <w:left w:val="nil"/>
              <w:bottom w:val="nil"/>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 xml:space="preserve">             21,394 </w:t>
            </w:r>
          </w:p>
        </w:tc>
        <w:tc>
          <w:tcPr>
            <w:tcW w:w="1214" w:type="dxa"/>
            <w:tcBorders>
              <w:top w:val="nil"/>
              <w:left w:val="nil"/>
              <w:bottom w:val="nil"/>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 xml:space="preserve">        22,397 </w:t>
            </w:r>
          </w:p>
        </w:tc>
        <w:tc>
          <w:tcPr>
            <w:tcW w:w="1406" w:type="dxa"/>
            <w:tcBorders>
              <w:top w:val="nil"/>
              <w:left w:val="nil"/>
              <w:bottom w:val="nil"/>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4.7</w:t>
            </w:r>
          </w:p>
        </w:tc>
      </w:tr>
      <w:tr w:rsidR="00D66F0A" w:rsidRPr="00CF36FD" w:rsidTr="00C33F57">
        <w:trPr>
          <w:trHeight w:val="242"/>
        </w:trPr>
        <w:tc>
          <w:tcPr>
            <w:tcW w:w="1985" w:type="dxa"/>
            <w:tcBorders>
              <w:top w:val="nil"/>
              <w:left w:val="nil"/>
              <w:bottom w:val="single" w:sz="4" w:space="0" w:color="auto"/>
              <w:right w:val="nil"/>
            </w:tcBorders>
            <w:shd w:val="clear" w:color="auto" w:fill="auto"/>
            <w:noWrap/>
            <w:vAlign w:val="center"/>
            <w:hideMark/>
          </w:tcPr>
          <w:p w:rsidR="00D66F0A" w:rsidRPr="00CF36FD" w:rsidRDefault="00D66F0A" w:rsidP="00D66F0A">
            <w:pPr>
              <w:jc w:val="lef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Sicilia</w:t>
            </w:r>
          </w:p>
        </w:tc>
        <w:tc>
          <w:tcPr>
            <w:tcW w:w="1447" w:type="dxa"/>
            <w:tcBorders>
              <w:top w:val="nil"/>
              <w:left w:val="nil"/>
              <w:bottom w:val="single" w:sz="4" w:space="0" w:color="auto"/>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sz w:val="18"/>
                <w:szCs w:val="18"/>
                <w:lang w:eastAsia="it-IT"/>
              </w:rPr>
            </w:pPr>
            <w:r w:rsidRPr="00CF36FD">
              <w:rPr>
                <w:rFonts w:asciiTheme="majorHAnsi" w:eastAsia="Times New Roman" w:hAnsiTheme="majorHAnsi" w:cs="Calibri"/>
                <w:sz w:val="18"/>
                <w:szCs w:val="18"/>
                <w:lang w:eastAsia="it-IT"/>
              </w:rPr>
              <w:t xml:space="preserve">             366,801 </w:t>
            </w:r>
          </w:p>
        </w:tc>
        <w:tc>
          <w:tcPr>
            <w:tcW w:w="1371" w:type="dxa"/>
            <w:tcBorders>
              <w:top w:val="nil"/>
              <w:left w:val="nil"/>
              <w:bottom w:val="single" w:sz="4" w:space="0" w:color="auto"/>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sz w:val="18"/>
                <w:szCs w:val="18"/>
                <w:lang w:eastAsia="it-IT"/>
              </w:rPr>
            </w:pPr>
            <w:r w:rsidRPr="00CF36FD">
              <w:rPr>
                <w:rFonts w:asciiTheme="majorHAnsi" w:eastAsia="Times New Roman" w:hAnsiTheme="majorHAnsi" w:cs="Calibri"/>
                <w:sz w:val="18"/>
                <w:szCs w:val="18"/>
                <w:lang w:eastAsia="it-IT"/>
              </w:rPr>
              <w:t xml:space="preserve">         367,736 </w:t>
            </w:r>
          </w:p>
        </w:tc>
        <w:tc>
          <w:tcPr>
            <w:tcW w:w="1009" w:type="dxa"/>
            <w:tcBorders>
              <w:top w:val="nil"/>
              <w:left w:val="nil"/>
              <w:bottom w:val="single" w:sz="4" w:space="0" w:color="auto"/>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0.3</w:t>
            </w:r>
          </w:p>
        </w:tc>
        <w:tc>
          <w:tcPr>
            <w:tcW w:w="1349" w:type="dxa"/>
            <w:tcBorders>
              <w:top w:val="nil"/>
              <w:left w:val="nil"/>
              <w:bottom w:val="single" w:sz="4" w:space="0" w:color="auto"/>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 xml:space="preserve">             55,147 </w:t>
            </w:r>
          </w:p>
        </w:tc>
        <w:tc>
          <w:tcPr>
            <w:tcW w:w="1214" w:type="dxa"/>
            <w:tcBorders>
              <w:top w:val="nil"/>
              <w:left w:val="nil"/>
              <w:bottom w:val="single" w:sz="4" w:space="0" w:color="auto"/>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 xml:space="preserve">        58,316 </w:t>
            </w:r>
          </w:p>
        </w:tc>
        <w:tc>
          <w:tcPr>
            <w:tcW w:w="1406" w:type="dxa"/>
            <w:tcBorders>
              <w:top w:val="nil"/>
              <w:left w:val="nil"/>
              <w:bottom w:val="single" w:sz="4" w:space="0" w:color="auto"/>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5.7</w:t>
            </w:r>
          </w:p>
        </w:tc>
      </w:tr>
      <w:tr w:rsidR="00D66F0A" w:rsidRPr="00CF36FD" w:rsidTr="00C33F57">
        <w:trPr>
          <w:trHeight w:val="256"/>
        </w:trPr>
        <w:tc>
          <w:tcPr>
            <w:tcW w:w="1985" w:type="dxa"/>
            <w:tcBorders>
              <w:top w:val="nil"/>
              <w:left w:val="nil"/>
              <w:bottom w:val="dashed" w:sz="8" w:space="0" w:color="4F6228"/>
              <w:right w:val="nil"/>
            </w:tcBorders>
            <w:shd w:val="clear" w:color="auto" w:fill="auto"/>
            <w:noWrap/>
            <w:vAlign w:val="center"/>
            <w:hideMark/>
          </w:tcPr>
          <w:p w:rsidR="00D66F0A" w:rsidRPr="00CF36FD" w:rsidRDefault="00D66F0A" w:rsidP="00D66F0A">
            <w:pPr>
              <w:jc w:val="lef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Center-</w:t>
            </w:r>
            <w:proofErr w:type="spellStart"/>
            <w:r w:rsidRPr="00CF36FD">
              <w:rPr>
                <w:rFonts w:asciiTheme="majorHAnsi" w:eastAsia="Times New Roman" w:hAnsiTheme="majorHAnsi" w:cs="Calibri"/>
                <w:color w:val="000000"/>
                <w:sz w:val="18"/>
                <w:szCs w:val="18"/>
                <w:lang w:eastAsia="it-IT"/>
              </w:rPr>
              <w:t>Northern</w:t>
            </w:r>
            <w:proofErr w:type="spellEnd"/>
            <w:r w:rsidRPr="00CF36FD">
              <w:rPr>
                <w:rFonts w:asciiTheme="majorHAnsi" w:eastAsia="Times New Roman" w:hAnsiTheme="majorHAnsi" w:cs="Calibri"/>
                <w:color w:val="000000"/>
                <w:sz w:val="18"/>
                <w:szCs w:val="18"/>
                <w:lang w:eastAsia="it-IT"/>
              </w:rPr>
              <w:t xml:space="preserve"> Italy</w:t>
            </w:r>
          </w:p>
        </w:tc>
        <w:tc>
          <w:tcPr>
            <w:tcW w:w="1447" w:type="dxa"/>
            <w:tcBorders>
              <w:top w:val="nil"/>
              <w:left w:val="nil"/>
              <w:bottom w:val="dashed" w:sz="8" w:space="0" w:color="4F6228"/>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 xml:space="preserve">          3,473,022 </w:t>
            </w:r>
          </w:p>
        </w:tc>
        <w:tc>
          <w:tcPr>
            <w:tcW w:w="1371" w:type="dxa"/>
            <w:tcBorders>
              <w:top w:val="nil"/>
              <w:left w:val="nil"/>
              <w:bottom w:val="dashed" w:sz="8" w:space="0" w:color="4F6228"/>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 xml:space="preserve">      3,463,875 </w:t>
            </w:r>
          </w:p>
        </w:tc>
        <w:tc>
          <w:tcPr>
            <w:tcW w:w="1009" w:type="dxa"/>
            <w:tcBorders>
              <w:top w:val="nil"/>
              <w:left w:val="nil"/>
              <w:bottom w:val="dashed" w:sz="8" w:space="0" w:color="4F6228"/>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-0.3</w:t>
            </w:r>
          </w:p>
        </w:tc>
        <w:tc>
          <w:tcPr>
            <w:tcW w:w="1349" w:type="dxa"/>
            <w:tcBorders>
              <w:top w:val="nil"/>
              <w:left w:val="nil"/>
              <w:bottom w:val="dashed" w:sz="8" w:space="0" w:color="4F6228"/>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 xml:space="preserve">           792,912 </w:t>
            </w:r>
          </w:p>
        </w:tc>
        <w:tc>
          <w:tcPr>
            <w:tcW w:w="1214" w:type="dxa"/>
            <w:tcBorders>
              <w:top w:val="nil"/>
              <w:left w:val="nil"/>
              <w:bottom w:val="dashed" w:sz="8" w:space="0" w:color="4F6228"/>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 xml:space="preserve">     817,107 </w:t>
            </w:r>
          </w:p>
        </w:tc>
        <w:tc>
          <w:tcPr>
            <w:tcW w:w="1406" w:type="dxa"/>
            <w:tcBorders>
              <w:top w:val="nil"/>
              <w:left w:val="nil"/>
              <w:bottom w:val="dashed" w:sz="8" w:space="0" w:color="4F6228"/>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3.1</w:t>
            </w:r>
          </w:p>
        </w:tc>
      </w:tr>
      <w:tr w:rsidR="00D66F0A" w:rsidRPr="00CF36FD" w:rsidTr="00C33F57">
        <w:trPr>
          <w:trHeight w:val="256"/>
        </w:trPr>
        <w:tc>
          <w:tcPr>
            <w:tcW w:w="1985" w:type="dxa"/>
            <w:tcBorders>
              <w:top w:val="nil"/>
              <w:left w:val="nil"/>
              <w:bottom w:val="dashed" w:sz="8" w:space="0" w:color="4F6228"/>
              <w:right w:val="nil"/>
            </w:tcBorders>
            <w:shd w:val="clear" w:color="auto" w:fill="auto"/>
            <w:noWrap/>
            <w:vAlign w:val="center"/>
            <w:hideMark/>
          </w:tcPr>
          <w:p w:rsidR="00D66F0A" w:rsidRPr="00CF36FD" w:rsidRDefault="00D66F0A" w:rsidP="00D66F0A">
            <w:pPr>
              <w:jc w:val="left"/>
              <w:rPr>
                <w:rFonts w:asciiTheme="majorHAnsi" w:eastAsia="Times New Roman" w:hAnsiTheme="majorHAnsi" w:cs="Calibri"/>
                <w:b/>
                <w:bCs/>
                <w:color w:val="4F6228"/>
                <w:sz w:val="18"/>
                <w:szCs w:val="18"/>
                <w:lang w:eastAsia="it-IT"/>
              </w:rPr>
            </w:pPr>
            <w:r w:rsidRPr="00CF36FD">
              <w:rPr>
                <w:rFonts w:asciiTheme="majorHAnsi" w:eastAsia="Times New Roman" w:hAnsiTheme="majorHAnsi" w:cs="Calibri"/>
                <w:b/>
                <w:bCs/>
                <w:color w:val="4F6228"/>
                <w:sz w:val="18"/>
                <w:szCs w:val="18"/>
                <w:lang w:eastAsia="it-IT"/>
              </w:rPr>
              <w:t>Southern Italy</w:t>
            </w:r>
          </w:p>
        </w:tc>
        <w:tc>
          <w:tcPr>
            <w:tcW w:w="1447" w:type="dxa"/>
            <w:tcBorders>
              <w:top w:val="nil"/>
              <w:left w:val="nil"/>
              <w:bottom w:val="dashed" w:sz="8" w:space="0" w:color="4F6228"/>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b/>
                <w:bCs/>
                <w:color w:val="4F6228"/>
                <w:sz w:val="18"/>
                <w:szCs w:val="18"/>
                <w:lang w:eastAsia="it-IT"/>
              </w:rPr>
            </w:pPr>
            <w:r w:rsidRPr="00CF36FD">
              <w:rPr>
                <w:rFonts w:asciiTheme="majorHAnsi" w:eastAsia="Times New Roman" w:hAnsiTheme="majorHAnsi" w:cs="Calibri"/>
                <w:b/>
                <w:bCs/>
                <w:color w:val="4F6228"/>
                <w:sz w:val="18"/>
                <w:szCs w:val="18"/>
                <w:lang w:eastAsia="it-IT"/>
              </w:rPr>
              <w:t xml:space="preserve">          1,686,846 </w:t>
            </w:r>
          </w:p>
        </w:tc>
        <w:tc>
          <w:tcPr>
            <w:tcW w:w="1371" w:type="dxa"/>
            <w:tcBorders>
              <w:top w:val="nil"/>
              <w:left w:val="nil"/>
              <w:bottom w:val="dashed" w:sz="8" w:space="0" w:color="4F6228"/>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b/>
                <w:bCs/>
                <w:color w:val="4F6228"/>
                <w:sz w:val="18"/>
                <w:szCs w:val="18"/>
                <w:lang w:eastAsia="it-IT"/>
              </w:rPr>
            </w:pPr>
            <w:r w:rsidRPr="00CF36FD">
              <w:rPr>
                <w:rFonts w:asciiTheme="majorHAnsi" w:eastAsia="Times New Roman" w:hAnsiTheme="majorHAnsi" w:cs="Calibri"/>
                <w:b/>
                <w:bCs/>
                <w:color w:val="4F6228"/>
                <w:sz w:val="18"/>
                <w:szCs w:val="18"/>
                <w:lang w:eastAsia="it-IT"/>
              </w:rPr>
              <w:t xml:space="preserve">      1,693,254 </w:t>
            </w:r>
          </w:p>
        </w:tc>
        <w:tc>
          <w:tcPr>
            <w:tcW w:w="1009" w:type="dxa"/>
            <w:tcBorders>
              <w:top w:val="nil"/>
              <w:left w:val="nil"/>
              <w:bottom w:val="dashed" w:sz="8" w:space="0" w:color="4F6228"/>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b/>
                <w:bCs/>
                <w:color w:val="4F6228"/>
                <w:sz w:val="18"/>
                <w:szCs w:val="18"/>
                <w:lang w:eastAsia="it-IT"/>
              </w:rPr>
            </w:pPr>
            <w:r w:rsidRPr="00CF36FD">
              <w:rPr>
                <w:rFonts w:asciiTheme="majorHAnsi" w:eastAsia="Times New Roman" w:hAnsiTheme="majorHAnsi" w:cs="Calibri"/>
                <w:b/>
                <w:bCs/>
                <w:color w:val="4F6228"/>
                <w:sz w:val="18"/>
                <w:szCs w:val="18"/>
                <w:lang w:eastAsia="it-IT"/>
              </w:rPr>
              <w:t>0.4</w:t>
            </w:r>
          </w:p>
        </w:tc>
        <w:tc>
          <w:tcPr>
            <w:tcW w:w="1349" w:type="dxa"/>
            <w:tcBorders>
              <w:top w:val="nil"/>
              <w:left w:val="nil"/>
              <w:bottom w:val="dashed" w:sz="8" w:space="0" w:color="4F6228"/>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b/>
                <w:bCs/>
                <w:color w:val="4F6228"/>
                <w:sz w:val="18"/>
                <w:szCs w:val="18"/>
                <w:lang w:eastAsia="it-IT"/>
              </w:rPr>
            </w:pPr>
            <w:r w:rsidRPr="00CF36FD">
              <w:rPr>
                <w:rFonts w:asciiTheme="majorHAnsi" w:eastAsia="Times New Roman" w:hAnsiTheme="majorHAnsi" w:cs="Calibri"/>
                <w:b/>
                <w:bCs/>
                <w:color w:val="4F6228"/>
                <w:sz w:val="18"/>
                <w:szCs w:val="18"/>
                <w:lang w:eastAsia="it-IT"/>
              </w:rPr>
              <w:t xml:space="preserve">           285,761 </w:t>
            </w:r>
          </w:p>
        </w:tc>
        <w:tc>
          <w:tcPr>
            <w:tcW w:w="1214" w:type="dxa"/>
            <w:tcBorders>
              <w:top w:val="nil"/>
              <w:left w:val="nil"/>
              <w:bottom w:val="dashed" w:sz="8" w:space="0" w:color="4F6228"/>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b/>
                <w:bCs/>
                <w:color w:val="4F6228"/>
                <w:sz w:val="18"/>
                <w:szCs w:val="18"/>
                <w:lang w:eastAsia="it-IT"/>
              </w:rPr>
            </w:pPr>
            <w:r w:rsidRPr="00CF36FD">
              <w:rPr>
                <w:rFonts w:asciiTheme="majorHAnsi" w:eastAsia="Times New Roman" w:hAnsiTheme="majorHAnsi" w:cs="Calibri"/>
                <w:b/>
                <w:bCs/>
                <w:color w:val="4F6228"/>
                <w:sz w:val="18"/>
                <w:szCs w:val="18"/>
                <w:lang w:eastAsia="it-IT"/>
              </w:rPr>
              <w:t xml:space="preserve">     302,359 </w:t>
            </w:r>
          </w:p>
        </w:tc>
        <w:tc>
          <w:tcPr>
            <w:tcW w:w="1406" w:type="dxa"/>
            <w:tcBorders>
              <w:top w:val="nil"/>
              <w:left w:val="nil"/>
              <w:bottom w:val="dashed" w:sz="8" w:space="0" w:color="4F6228"/>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b/>
                <w:bCs/>
                <w:color w:val="4F6228"/>
                <w:sz w:val="18"/>
                <w:szCs w:val="18"/>
                <w:lang w:eastAsia="it-IT"/>
              </w:rPr>
            </w:pPr>
            <w:r w:rsidRPr="00CF36FD">
              <w:rPr>
                <w:rFonts w:asciiTheme="majorHAnsi" w:eastAsia="Times New Roman" w:hAnsiTheme="majorHAnsi" w:cs="Calibri"/>
                <w:b/>
                <w:bCs/>
                <w:color w:val="4F6228"/>
                <w:sz w:val="18"/>
                <w:szCs w:val="18"/>
                <w:lang w:eastAsia="it-IT"/>
              </w:rPr>
              <w:t>5.8</w:t>
            </w:r>
          </w:p>
        </w:tc>
      </w:tr>
      <w:tr w:rsidR="00D66F0A" w:rsidRPr="00CF36FD" w:rsidTr="00C33F57">
        <w:trPr>
          <w:trHeight w:val="256"/>
        </w:trPr>
        <w:tc>
          <w:tcPr>
            <w:tcW w:w="1985" w:type="dxa"/>
            <w:tcBorders>
              <w:top w:val="nil"/>
              <w:left w:val="nil"/>
              <w:bottom w:val="single" w:sz="12" w:space="0" w:color="4F6228"/>
              <w:right w:val="nil"/>
            </w:tcBorders>
            <w:shd w:val="clear" w:color="auto" w:fill="auto"/>
            <w:noWrap/>
            <w:vAlign w:val="center"/>
            <w:hideMark/>
          </w:tcPr>
          <w:p w:rsidR="00D66F0A" w:rsidRPr="00CF36FD" w:rsidRDefault="00D66F0A" w:rsidP="00D66F0A">
            <w:pPr>
              <w:jc w:val="lef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Italy</w:t>
            </w:r>
          </w:p>
        </w:tc>
        <w:tc>
          <w:tcPr>
            <w:tcW w:w="1447" w:type="dxa"/>
            <w:tcBorders>
              <w:top w:val="nil"/>
              <w:left w:val="nil"/>
              <w:bottom w:val="single" w:sz="12" w:space="0" w:color="4F6228"/>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 xml:space="preserve">          5,159,868 </w:t>
            </w:r>
          </w:p>
        </w:tc>
        <w:tc>
          <w:tcPr>
            <w:tcW w:w="1371" w:type="dxa"/>
            <w:tcBorders>
              <w:top w:val="nil"/>
              <w:left w:val="nil"/>
              <w:bottom w:val="single" w:sz="12" w:space="0" w:color="4F6228"/>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 xml:space="preserve">      5,157,129 </w:t>
            </w:r>
          </w:p>
        </w:tc>
        <w:tc>
          <w:tcPr>
            <w:tcW w:w="1009" w:type="dxa"/>
            <w:tcBorders>
              <w:top w:val="nil"/>
              <w:left w:val="nil"/>
              <w:bottom w:val="single" w:sz="12" w:space="0" w:color="4F6228"/>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-0.1</w:t>
            </w:r>
          </w:p>
        </w:tc>
        <w:tc>
          <w:tcPr>
            <w:tcW w:w="1349" w:type="dxa"/>
            <w:tcBorders>
              <w:top w:val="nil"/>
              <w:left w:val="nil"/>
              <w:bottom w:val="single" w:sz="12" w:space="0" w:color="4F6228"/>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 xml:space="preserve">        1,078,673 </w:t>
            </w:r>
          </w:p>
        </w:tc>
        <w:tc>
          <w:tcPr>
            <w:tcW w:w="1214" w:type="dxa"/>
            <w:tcBorders>
              <w:top w:val="nil"/>
              <w:left w:val="nil"/>
              <w:bottom w:val="single" w:sz="12" w:space="0" w:color="4F6228"/>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 xml:space="preserve">  1,119,466 </w:t>
            </w:r>
          </w:p>
        </w:tc>
        <w:tc>
          <w:tcPr>
            <w:tcW w:w="1406" w:type="dxa"/>
            <w:tcBorders>
              <w:top w:val="nil"/>
              <w:left w:val="nil"/>
              <w:bottom w:val="single" w:sz="12" w:space="0" w:color="4F6228"/>
              <w:right w:val="nil"/>
            </w:tcBorders>
            <w:shd w:val="clear" w:color="auto" w:fill="auto"/>
            <w:noWrap/>
            <w:vAlign w:val="center"/>
            <w:hideMark/>
          </w:tcPr>
          <w:p w:rsidR="00D66F0A" w:rsidRPr="00CF36FD" w:rsidRDefault="00D66F0A" w:rsidP="00CF36FD">
            <w:pPr>
              <w:jc w:val="right"/>
              <w:rPr>
                <w:rFonts w:asciiTheme="majorHAnsi" w:eastAsia="Times New Roman" w:hAnsiTheme="majorHAnsi" w:cs="Calibri"/>
                <w:color w:val="000000"/>
                <w:sz w:val="18"/>
                <w:szCs w:val="18"/>
                <w:lang w:eastAsia="it-IT"/>
              </w:rPr>
            </w:pPr>
            <w:r w:rsidRPr="00CF36FD">
              <w:rPr>
                <w:rFonts w:asciiTheme="majorHAnsi" w:eastAsia="Times New Roman" w:hAnsiTheme="majorHAnsi" w:cs="Calibri"/>
                <w:color w:val="000000"/>
                <w:sz w:val="18"/>
                <w:szCs w:val="18"/>
                <w:lang w:eastAsia="it-IT"/>
              </w:rPr>
              <w:t>3.8</w:t>
            </w:r>
          </w:p>
        </w:tc>
      </w:tr>
    </w:tbl>
    <w:p w:rsidR="00D4748D" w:rsidRPr="00D4748D" w:rsidRDefault="00D4748D" w:rsidP="00D4748D">
      <w:pPr>
        <w:spacing w:after="120"/>
        <w:rPr>
          <w:rFonts w:asciiTheme="majorHAnsi" w:hAnsiTheme="majorHAnsi"/>
          <w:sz w:val="18"/>
          <w:szCs w:val="18"/>
          <w:lang w:val="en-US"/>
        </w:rPr>
      </w:pPr>
      <w:r>
        <w:rPr>
          <w:rFonts w:asciiTheme="majorHAnsi" w:hAnsiTheme="majorHAnsi"/>
          <w:sz w:val="18"/>
          <w:szCs w:val="18"/>
          <w:lang w:val="en-US"/>
        </w:rPr>
        <w:t>Source</w:t>
      </w:r>
      <w:r w:rsidRPr="00D4748D">
        <w:rPr>
          <w:rFonts w:asciiTheme="majorHAnsi" w:hAnsiTheme="majorHAnsi"/>
          <w:sz w:val="18"/>
          <w:szCs w:val="18"/>
          <w:lang w:val="en-US"/>
        </w:rPr>
        <w:t xml:space="preserve">: Confindustria and SRM elaborations on </w:t>
      </w:r>
      <w:proofErr w:type="spellStart"/>
      <w:r>
        <w:rPr>
          <w:rFonts w:asciiTheme="majorHAnsi" w:hAnsiTheme="majorHAnsi"/>
          <w:sz w:val="18"/>
          <w:szCs w:val="18"/>
          <w:lang w:val="en-US"/>
        </w:rPr>
        <w:t>Movimprese</w:t>
      </w:r>
      <w:proofErr w:type="spellEnd"/>
      <w:r w:rsidRPr="00D4748D">
        <w:rPr>
          <w:rFonts w:asciiTheme="majorHAnsi" w:hAnsiTheme="majorHAnsi"/>
          <w:sz w:val="18"/>
          <w:szCs w:val="18"/>
          <w:lang w:val="en-US"/>
        </w:rPr>
        <w:t xml:space="preserve"> data</w:t>
      </w:r>
    </w:p>
    <w:p w:rsidR="006926D2" w:rsidRDefault="006926D2" w:rsidP="006926D2">
      <w:pPr>
        <w:shd w:val="clear" w:color="auto" w:fill="FFFFFF"/>
        <w:spacing w:after="120"/>
        <w:rPr>
          <w:rFonts w:asciiTheme="majorHAnsi" w:hAnsiTheme="majorHAnsi"/>
          <w:b/>
        </w:rPr>
      </w:pPr>
      <w:r w:rsidRPr="00ED4C07">
        <w:rPr>
          <w:rFonts w:asciiTheme="majorHAnsi" w:hAnsiTheme="majorHAnsi"/>
          <w:b/>
          <w:lang w:val="en-GB"/>
        </w:rPr>
        <w:lastRenderedPageBreak/>
        <w:t xml:space="preserve">Credit offer and demand of the companies of the </w:t>
      </w:r>
      <w:proofErr w:type="spellStart"/>
      <w:r w:rsidRPr="00ED4C07">
        <w:rPr>
          <w:rFonts w:asciiTheme="majorHAnsi" w:hAnsiTheme="majorHAnsi"/>
          <w:b/>
          <w:lang w:val="en-GB"/>
        </w:rPr>
        <w:t>Mezzogiorno</w:t>
      </w:r>
      <w:proofErr w:type="spellEnd"/>
      <w:r w:rsidRPr="00ED4C07">
        <w:rPr>
          <w:rFonts w:asciiTheme="majorHAnsi" w:hAnsiTheme="majorHAnsi"/>
          <w:b/>
          <w:lang w:val="en-GB"/>
        </w:rPr>
        <w:t xml:space="preserve"> – Diffusion I.* (I sem. </w:t>
      </w:r>
      <w:r w:rsidRPr="00AD4C90">
        <w:rPr>
          <w:rFonts w:asciiTheme="majorHAnsi" w:hAnsiTheme="majorHAnsi"/>
          <w:b/>
        </w:rPr>
        <w:t xml:space="preserve">‘09 – </w:t>
      </w:r>
      <w:r>
        <w:rPr>
          <w:rFonts w:asciiTheme="majorHAnsi" w:hAnsiTheme="majorHAnsi"/>
          <w:b/>
        </w:rPr>
        <w:t xml:space="preserve">II </w:t>
      </w:r>
      <w:proofErr w:type="spellStart"/>
      <w:r w:rsidRPr="00AD4C90">
        <w:rPr>
          <w:rFonts w:asciiTheme="majorHAnsi" w:hAnsiTheme="majorHAnsi"/>
          <w:b/>
        </w:rPr>
        <w:t>sem</w:t>
      </w:r>
      <w:proofErr w:type="spellEnd"/>
      <w:r w:rsidRPr="00AD4C90">
        <w:rPr>
          <w:rFonts w:asciiTheme="majorHAnsi" w:hAnsiTheme="majorHAnsi"/>
          <w:b/>
        </w:rPr>
        <w:t>. ‘16)</w:t>
      </w:r>
    </w:p>
    <w:p w:rsidR="00234F4D" w:rsidRPr="00AD4C90" w:rsidRDefault="00D66F0A" w:rsidP="007F4FFE">
      <w:pPr>
        <w:shd w:val="clear" w:color="auto" w:fill="FFFFFF"/>
        <w:spacing w:after="120"/>
        <w:rPr>
          <w:rFonts w:asciiTheme="majorHAnsi" w:hAnsiTheme="majorHAnsi"/>
          <w:b/>
        </w:rPr>
      </w:pPr>
      <w:r>
        <w:rPr>
          <w:rFonts w:asciiTheme="majorHAnsi" w:hAnsiTheme="majorHAnsi"/>
          <w:b/>
          <w:noProof/>
          <w:lang w:eastAsia="it-IT"/>
        </w:rPr>
        <w:drawing>
          <wp:inline distT="0" distB="0" distL="0" distR="0" wp14:anchorId="36A75B02">
            <wp:extent cx="6115507" cy="2947464"/>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9143" cy="2949216"/>
                    </a:xfrm>
                    <a:prstGeom prst="rect">
                      <a:avLst/>
                    </a:prstGeom>
                    <a:noFill/>
                  </pic:spPr>
                </pic:pic>
              </a:graphicData>
            </a:graphic>
          </wp:inline>
        </w:drawing>
      </w:r>
    </w:p>
    <w:p w:rsidR="00886169" w:rsidRPr="00ED4C07" w:rsidRDefault="00886169" w:rsidP="00886169">
      <w:pPr>
        <w:spacing w:after="120"/>
        <w:rPr>
          <w:rFonts w:asciiTheme="majorHAnsi" w:eastAsia="Times New Roman" w:hAnsiTheme="majorHAnsi"/>
          <w:sz w:val="18"/>
          <w:szCs w:val="18"/>
          <w:lang w:val="en-GB" w:eastAsia="it-IT"/>
        </w:rPr>
      </w:pPr>
      <w:r w:rsidRPr="00ED4C07">
        <w:rPr>
          <w:rFonts w:asciiTheme="majorHAnsi" w:eastAsia="Times New Roman" w:hAnsiTheme="majorHAnsi"/>
          <w:sz w:val="18"/>
          <w:szCs w:val="18"/>
          <w:lang w:val="en-GB" w:eastAsia="it-IT"/>
        </w:rPr>
        <w:t xml:space="preserve">* </w:t>
      </w:r>
      <w:r>
        <w:rPr>
          <w:rFonts w:asciiTheme="majorHAnsi" w:eastAsia="Times New Roman" w:hAnsiTheme="majorHAnsi"/>
          <w:sz w:val="18"/>
          <w:szCs w:val="18"/>
          <w:lang w:val="en-GB" w:eastAsia="it-IT"/>
        </w:rPr>
        <w:t>Diffusion indices</w:t>
      </w:r>
      <w:r w:rsidRPr="00ED4C07">
        <w:rPr>
          <w:rFonts w:asciiTheme="majorHAnsi" w:eastAsia="Times New Roman" w:hAnsiTheme="majorHAnsi"/>
          <w:sz w:val="18"/>
          <w:szCs w:val="18"/>
          <w:lang w:val="en-GB" w:eastAsia="it-IT"/>
        </w:rPr>
        <w:t xml:space="preserve"> a: expansion (+); contraction (-) of credit demand;</w:t>
      </w:r>
    </w:p>
    <w:p w:rsidR="00886169" w:rsidRPr="00ED4C07" w:rsidRDefault="00886169" w:rsidP="00886169">
      <w:pPr>
        <w:spacing w:after="120"/>
        <w:rPr>
          <w:rFonts w:asciiTheme="majorHAnsi" w:eastAsia="Times New Roman" w:hAnsiTheme="majorHAnsi"/>
          <w:sz w:val="18"/>
          <w:szCs w:val="18"/>
          <w:lang w:val="en-GB" w:eastAsia="it-IT"/>
        </w:rPr>
      </w:pPr>
      <w:r w:rsidRPr="00ED4C07">
        <w:rPr>
          <w:rFonts w:asciiTheme="majorHAnsi" w:eastAsia="Times New Roman" w:hAnsiTheme="majorHAnsi"/>
          <w:sz w:val="18"/>
          <w:szCs w:val="18"/>
          <w:lang w:val="en-GB" w:eastAsia="it-IT"/>
        </w:rPr>
        <w:t xml:space="preserve">* Diffusion Indices b: stiffening (+); loosening (-) of the conditions for credit offer </w:t>
      </w:r>
    </w:p>
    <w:p w:rsidR="00886169" w:rsidRPr="001166F3" w:rsidRDefault="00886169" w:rsidP="00886169">
      <w:pPr>
        <w:spacing w:after="120"/>
        <w:rPr>
          <w:rFonts w:asciiTheme="majorHAnsi" w:eastAsia="Times New Roman" w:hAnsiTheme="majorHAnsi"/>
          <w:sz w:val="18"/>
          <w:szCs w:val="18"/>
          <w:lang w:val="en-GB" w:eastAsia="it-IT"/>
        </w:rPr>
      </w:pPr>
      <w:r w:rsidRPr="001166F3">
        <w:rPr>
          <w:rFonts w:asciiTheme="majorHAnsi" w:eastAsia="Times New Roman" w:hAnsiTheme="majorHAnsi"/>
          <w:sz w:val="18"/>
          <w:szCs w:val="18"/>
          <w:vertAlign w:val="superscript"/>
          <w:lang w:val="en-GB" w:eastAsia="it-IT"/>
        </w:rPr>
        <w:t>a</w:t>
      </w:r>
      <w:r w:rsidRPr="001166F3">
        <w:rPr>
          <w:rFonts w:asciiTheme="majorHAnsi" w:eastAsia="Times New Roman" w:hAnsiTheme="majorHAnsi"/>
          <w:sz w:val="18"/>
          <w:szCs w:val="18"/>
          <w:lang w:val="en-GB" w:eastAsia="it-IT"/>
        </w:rPr>
        <w:t xml:space="preserve"> Positive values of the index highlight a demand increase; negative values, a contraction. </w:t>
      </w:r>
      <w:r>
        <w:rPr>
          <w:rFonts w:asciiTheme="majorHAnsi" w:eastAsia="Times New Roman" w:hAnsiTheme="majorHAnsi"/>
          <w:sz w:val="18"/>
          <w:szCs w:val="18"/>
          <w:lang w:val="en-GB" w:eastAsia="it-IT"/>
        </w:rPr>
        <w:t xml:space="preserve">The diffusion index is composed by adding the qualitative answers of the banks taking part to the survey on the basis of the loans distributed to the companies located in the geographical area. </w:t>
      </w:r>
      <w:r w:rsidRPr="001166F3">
        <w:rPr>
          <w:rFonts w:asciiTheme="majorHAnsi" w:eastAsia="Times New Roman" w:hAnsiTheme="majorHAnsi"/>
          <w:sz w:val="18"/>
          <w:szCs w:val="18"/>
          <w:lang w:val="en-GB" w:eastAsia="it-IT"/>
        </w:rPr>
        <w:t xml:space="preserve">The range field goes from -1 and 1. </w:t>
      </w:r>
      <w:r w:rsidRPr="001166F3">
        <w:rPr>
          <w:rFonts w:asciiTheme="majorHAnsi" w:eastAsia="Times New Roman" w:hAnsiTheme="majorHAnsi"/>
          <w:sz w:val="18"/>
          <w:szCs w:val="18"/>
          <w:vertAlign w:val="superscript"/>
          <w:lang w:val="en-GB" w:eastAsia="it-IT"/>
        </w:rPr>
        <w:t>b</w:t>
      </w:r>
      <w:r>
        <w:rPr>
          <w:rFonts w:asciiTheme="majorHAnsi" w:eastAsia="Times New Roman" w:hAnsiTheme="majorHAnsi"/>
          <w:sz w:val="18"/>
          <w:szCs w:val="18"/>
          <w:vertAlign w:val="superscript"/>
          <w:lang w:val="en-GB" w:eastAsia="it-IT"/>
        </w:rPr>
        <w:t xml:space="preserve"> </w:t>
      </w:r>
      <w:r w:rsidRPr="001166F3">
        <w:rPr>
          <w:rFonts w:asciiTheme="majorHAnsi" w:eastAsia="Times New Roman" w:hAnsiTheme="majorHAnsi"/>
          <w:sz w:val="18"/>
          <w:szCs w:val="18"/>
          <w:lang w:val="en-GB" w:eastAsia="it-IT"/>
        </w:rPr>
        <w:t xml:space="preserve">Positive values of the index highlight a stiffening of the offer; negative values indicate a loosening. </w:t>
      </w:r>
      <w:r>
        <w:rPr>
          <w:rFonts w:asciiTheme="majorHAnsi" w:eastAsia="Times New Roman" w:hAnsiTheme="majorHAnsi"/>
          <w:sz w:val="18"/>
          <w:szCs w:val="18"/>
          <w:lang w:val="en-GB" w:eastAsia="it-IT"/>
        </w:rPr>
        <w:t xml:space="preserve">The diffusion index is composed by adding the qualitative answers of the banks taking part to the survey on the basis of the loans distributed to the companies located in the geographical area. The range field goes from -1 and 1. </w:t>
      </w:r>
    </w:p>
    <w:p w:rsidR="00D4748D" w:rsidRPr="00886169" w:rsidRDefault="00D4748D" w:rsidP="00D4748D">
      <w:pPr>
        <w:spacing w:after="120"/>
        <w:rPr>
          <w:rFonts w:asciiTheme="majorHAnsi" w:hAnsiTheme="majorHAnsi"/>
          <w:sz w:val="18"/>
          <w:szCs w:val="18"/>
          <w:lang w:val="en-US"/>
        </w:rPr>
      </w:pPr>
      <w:r w:rsidRPr="00886169">
        <w:rPr>
          <w:rFonts w:asciiTheme="majorHAnsi" w:hAnsiTheme="majorHAnsi"/>
          <w:sz w:val="18"/>
          <w:szCs w:val="18"/>
          <w:lang w:val="en-US"/>
        </w:rPr>
        <w:t xml:space="preserve">Source: Confindustria and SRM elaborations on Banca </w:t>
      </w:r>
      <w:proofErr w:type="spellStart"/>
      <w:r w:rsidRPr="00886169">
        <w:rPr>
          <w:rFonts w:asciiTheme="majorHAnsi" w:hAnsiTheme="majorHAnsi"/>
          <w:sz w:val="18"/>
          <w:szCs w:val="18"/>
          <w:lang w:val="en-US"/>
        </w:rPr>
        <w:t>d’Italia</w:t>
      </w:r>
      <w:proofErr w:type="spellEnd"/>
      <w:r w:rsidRPr="00886169">
        <w:rPr>
          <w:rFonts w:asciiTheme="majorHAnsi" w:hAnsiTheme="majorHAnsi"/>
          <w:sz w:val="18"/>
          <w:szCs w:val="18"/>
          <w:lang w:val="en-US"/>
        </w:rPr>
        <w:t xml:space="preserve"> data</w:t>
      </w:r>
    </w:p>
    <w:p w:rsidR="00AD4C90" w:rsidRPr="00886169" w:rsidRDefault="00AD4C90" w:rsidP="007F4FFE">
      <w:pPr>
        <w:spacing w:after="120"/>
        <w:rPr>
          <w:rFonts w:asciiTheme="majorHAnsi" w:eastAsia="Times New Roman" w:hAnsiTheme="majorHAnsi"/>
          <w:sz w:val="18"/>
          <w:szCs w:val="18"/>
          <w:lang w:val="en-US" w:eastAsia="it-IT"/>
        </w:rPr>
      </w:pPr>
    </w:p>
    <w:p w:rsidR="00621004" w:rsidRPr="005A140F" w:rsidRDefault="00621004" w:rsidP="00621004">
      <w:pPr>
        <w:shd w:val="clear" w:color="auto" w:fill="FFFFFF"/>
        <w:spacing w:after="120"/>
        <w:rPr>
          <w:rFonts w:asciiTheme="majorHAnsi" w:hAnsiTheme="majorHAnsi"/>
          <w:b/>
          <w:lang w:val="en-GB"/>
        </w:rPr>
      </w:pPr>
      <w:r w:rsidRPr="001166F3">
        <w:rPr>
          <w:rFonts w:asciiTheme="majorHAnsi" w:hAnsiTheme="majorHAnsi"/>
          <w:b/>
          <w:lang w:val="en-GB"/>
        </w:rPr>
        <w:t>Difference of the number of employees between the III trim.</w:t>
      </w:r>
      <w:r>
        <w:rPr>
          <w:rFonts w:asciiTheme="majorHAnsi" w:hAnsiTheme="majorHAnsi"/>
          <w:b/>
          <w:lang w:val="en-GB"/>
        </w:rPr>
        <w:t xml:space="preserve"> </w:t>
      </w:r>
      <w:r w:rsidRPr="005A140F">
        <w:rPr>
          <w:rFonts w:asciiTheme="majorHAnsi" w:hAnsiTheme="majorHAnsi"/>
          <w:b/>
          <w:lang w:val="en-GB"/>
        </w:rPr>
        <w:t>2016 and the III trim. 2017 (absolute values, in thousands)</w:t>
      </w:r>
    </w:p>
    <w:p w:rsidR="00234F4D" w:rsidRPr="00AD4C90" w:rsidRDefault="00D66F0A" w:rsidP="007F4FFE">
      <w:pPr>
        <w:shd w:val="clear" w:color="auto" w:fill="FFFFFF"/>
        <w:spacing w:after="120"/>
        <w:rPr>
          <w:rFonts w:asciiTheme="majorHAnsi" w:hAnsiTheme="majorHAnsi"/>
          <w:b/>
        </w:rPr>
      </w:pPr>
      <w:r>
        <w:rPr>
          <w:rFonts w:asciiTheme="majorHAnsi" w:hAnsiTheme="majorHAnsi"/>
          <w:b/>
          <w:noProof/>
          <w:lang w:eastAsia="it-IT"/>
        </w:rPr>
        <w:drawing>
          <wp:inline distT="0" distB="0" distL="0" distR="0" wp14:anchorId="14B333D7">
            <wp:extent cx="5822899" cy="3006548"/>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2315" cy="3006246"/>
                    </a:xfrm>
                    <a:prstGeom prst="rect">
                      <a:avLst/>
                    </a:prstGeom>
                    <a:noFill/>
                  </pic:spPr>
                </pic:pic>
              </a:graphicData>
            </a:graphic>
          </wp:inline>
        </w:drawing>
      </w:r>
    </w:p>
    <w:p w:rsidR="00D4748D" w:rsidRPr="00D4748D" w:rsidRDefault="00D4748D" w:rsidP="00D4748D">
      <w:pPr>
        <w:spacing w:after="120"/>
        <w:rPr>
          <w:rFonts w:asciiTheme="majorHAnsi" w:hAnsiTheme="majorHAnsi"/>
          <w:sz w:val="18"/>
          <w:szCs w:val="18"/>
          <w:lang w:val="en-US"/>
        </w:rPr>
      </w:pPr>
      <w:r>
        <w:rPr>
          <w:rFonts w:asciiTheme="majorHAnsi" w:hAnsiTheme="majorHAnsi"/>
          <w:sz w:val="18"/>
          <w:szCs w:val="18"/>
          <w:lang w:val="en-US"/>
        </w:rPr>
        <w:t>Source</w:t>
      </w:r>
      <w:r w:rsidRPr="00D4748D">
        <w:rPr>
          <w:rFonts w:asciiTheme="majorHAnsi" w:hAnsiTheme="majorHAnsi"/>
          <w:sz w:val="18"/>
          <w:szCs w:val="18"/>
          <w:lang w:val="en-US"/>
        </w:rPr>
        <w:t xml:space="preserve">: Confindustria and SRM elaborations on </w:t>
      </w:r>
      <w:proofErr w:type="spellStart"/>
      <w:r>
        <w:rPr>
          <w:rFonts w:asciiTheme="majorHAnsi" w:hAnsiTheme="majorHAnsi"/>
          <w:sz w:val="18"/>
          <w:szCs w:val="18"/>
          <w:lang w:val="en-US"/>
        </w:rPr>
        <w:t>Istat</w:t>
      </w:r>
      <w:proofErr w:type="spellEnd"/>
      <w:r w:rsidRPr="00D4748D">
        <w:rPr>
          <w:rFonts w:asciiTheme="majorHAnsi" w:hAnsiTheme="majorHAnsi"/>
          <w:sz w:val="18"/>
          <w:szCs w:val="18"/>
          <w:lang w:val="en-US"/>
        </w:rPr>
        <w:t xml:space="preserve"> data</w:t>
      </w:r>
    </w:p>
    <w:p w:rsidR="00D66F0A" w:rsidRPr="00D4748D" w:rsidRDefault="00D66F0A" w:rsidP="007F4FFE">
      <w:pPr>
        <w:spacing w:after="120"/>
        <w:rPr>
          <w:rFonts w:asciiTheme="majorHAnsi" w:eastAsia="Times New Roman" w:hAnsiTheme="majorHAnsi"/>
          <w:sz w:val="18"/>
          <w:szCs w:val="18"/>
          <w:lang w:val="en-US" w:eastAsia="it-IT"/>
        </w:rPr>
      </w:pPr>
    </w:p>
    <w:p w:rsidR="00D66F0A" w:rsidRPr="00D4748D" w:rsidRDefault="00D66F0A" w:rsidP="007F4FFE">
      <w:pPr>
        <w:spacing w:after="120"/>
        <w:rPr>
          <w:rFonts w:ascii="Helvetica" w:hAnsi="Helvetica"/>
          <w:sz w:val="18"/>
          <w:szCs w:val="18"/>
          <w:lang w:val="en-US"/>
        </w:rPr>
      </w:pPr>
    </w:p>
    <w:p w:rsidR="007A15F1" w:rsidRPr="001166F3" w:rsidRDefault="007A15F1" w:rsidP="007A15F1">
      <w:pPr>
        <w:shd w:val="clear" w:color="auto" w:fill="FFFFFF"/>
        <w:spacing w:after="120"/>
        <w:rPr>
          <w:rFonts w:asciiTheme="majorHAnsi" w:hAnsiTheme="majorHAnsi"/>
          <w:b/>
          <w:lang w:val="en-GB"/>
        </w:rPr>
      </w:pPr>
      <w:r w:rsidRPr="001166F3">
        <w:rPr>
          <w:rFonts w:asciiTheme="majorHAnsi" w:hAnsiTheme="majorHAnsi"/>
          <w:b/>
          <w:lang w:val="en-GB"/>
        </w:rPr>
        <w:lastRenderedPageBreak/>
        <w:t xml:space="preserve">Bonus employment South: applications approved and confirmed by region category and type </w:t>
      </w:r>
      <w:r>
        <w:rPr>
          <w:rFonts w:asciiTheme="majorHAnsi" w:hAnsiTheme="majorHAnsi"/>
          <w:b/>
          <w:lang w:val="en-GB"/>
        </w:rPr>
        <w:t xml:space="preserve">up </w:t>
      </w:r>
      <w:r w:rsidRPr="001166F3">
        <w:rPr>
          <w:rFonts w:asciiTheme="majorHAnsi" w:hAnsiTheme="majorHAnsi"/>
          <w:b/>
          <w:lang w:val="en-GB"/>
        </w:rPr>
        <w:t xml:space="preserve">to August 2017  </w:t>
      </w:r>
    </w:p>
    <w:tbl>
      <w:tblPr>
        <w:tblW w:w="9653" w:type="dxa"/>
        <w:tblInd w:w="70" w:type="dxa"/>
        <w:tblCellMar>
          <w:left w:w="70" w:type="dxa"/>
          <w:right w:w="70" w:type="dxa"/>
        </w:tblCellMar>
        <w:tblLook w:val="04A0" w:firstRow="1" w:lastRow="0" w:firstColumn="1" w:lastColumn="0" w:noHBand="0" w:noVBand="1"/>
      </w:tblPr>
      <w:tblGrid>
        <w:gridCol w:w="1560"/>
        <w:gridCol w:w="1660"/>
        <w:gridCol w:w="1805"/>
        <w:gridCol w:w="2488"/>
        <w:gridCol w:w="2140"/>
      </w:tblGrid>
      <w:tr w:rsidR="00D66F0A" w:rsidRPr="00CF36FD" w:rsidTr="00CF36FD">
        <w:trPr>
          <w:trHeight w:val="788"/>
        </w:trPr>
        <w:tc>
          <w:tcPr>
            <w:tcW w:w="1560" w:type="dxa"/>
            <w:tcBorders>
              <w:top w:val="nil"/>
              <w:left w:val="nil"/>
              <w:bottom w:val="nil"/>
              <w:right w:val="nil"/>
            </w:tcBorders>
            <w:shd w:val="clear" w:color="000000" w:fill="1F497D"/>
            <w:vAlign w:val="center"/>
            <w:hideMark/>
          </w:tcPr>
          <w:p w:rsidR="00D66F0A" w:rsidRPr="007A15F1" w:rsidRDefault="00D66F0A" w:rsidP="00D66F0A">
            <w:pPr>
              <w:jc w:val="center"/>
              <w:rPr>
                <w:rFonts w:asciiTheme="majorHAnsi" w:eastAsia="Times New Roman" w:hAnsiTheme="majorHAnsi" w:cs="Calibri"/>
                <w:b/>
                <w:bCs/>
                <w:color w:val="FFFFFF"/>
                <w:sz w:val="20"/>
                <w:szCs w:val="20"/>
                <w:lang w:val="en-US" w:eastAsia="it-IT"/>
              </w:rPr>
            </w:pPr>
            <w:r w:rsidRPr="007A15F1">
              <w:rPr>
                <w:rFonts w:asciiTheme="majorHAnsi" w:eastAsia="Times New Roman" w:hAnsiTheme="majorHAnsi" w:cs="Calibri"/>
                <w:b/>
                <w:bCs/>
                <w:color w:val="FFFFFF"/>
                <w:sz w:val="20"/>
                <w:szCs w:val="20"/>
                <w:lang w:val="en-US" w:eastAsia="it-IT"/>
              </w:rPr>
              <w:t> </w:t>
            </w:r>
          </w:p>
        </w:tc>
        <w:tc>
          <w:tcPr>
            <w:tcW w:w="1660" w:type="dxa"/>
            <w:tcBorders>
              <w:top w:val="nil"/>
              <w:left w:val="nil"/>
              <w:bottom w:val="nil"/>
              <w:right w:val="nil"/>
            </w:tcBorders>
            <w:shd w:val="clear" w:color="000000" w:fill="1F497D"/>
            <w:vAlign w:val="center"/>
            <w:hideMark/>
          </w:tcPr>
          <w:p w:rsidR="00D66F0A" w:rsidRPr="00CF36FD" w:rsidRDefault="00D66F0A" w:rsidP="00D66F0A">
            <w:pPr>
              <w:jc w:val="center"/>
              <w:rPr>
                <w:rFonts w:asciiTheme="majorHAnsi" w:eastAsia="Times New Roman" w:hAnsiTheme="majorHAnsi" w:cs="Calibri"/>
                <w:b/>
                <w:bCs/>
                <w:color w:val="FFFFFF"/>
                <w:sz w:val="20"/>
                <w:szCs w:val="20"/>
                <w:lang w:eastAsia="it-IT"/>
              </w:rPr>
            </w:pPr>
            <w:proofErr w:type="spellStart"/>
            <w:r w:rsidRPr="00CF36FD">
              <w:rPr>
                <w:rFonts w:asciiTheme="majorHAnsi" w:eastAsia="Times New Roman" w:hAnsiTheme="majorHAnsi" w:cs="Calibri"/>
                <w:b/>
                <w:bCs/>
                <w:color w:val="FFFFFF"/>
                <w:sz w:val="20"/>
                <w:szCs w:val="20"/>
                <w:lang w:eastAsia="it-IT"/>
              </w:rPr>
              <w:t>Permanent</w:t>
            </w:r>
            <w:proofErr w:type="spellEnd"/>
            <w:r w:rsidRPr="00CF36FD">
              <w:rPr>
                <w:rFonts w:asciiTheme="majorHAnsi" w:eastAsia="Times New Roman" w:hAnsiTheme="majorHAnsi" w:cs="Calibri"/>
                <w:b/>
                <w:bCs/>
                <w:color w:val="FFFFFF"/>
                <w:sz w:val="20"/>
                <w:szCs w:val="20"/>
                <w:lang w:eastAsia="it-IT"/>
              </w:rPr>
              <w:t xml:space="preserve"> </w:t>
            </w:r>
            <w:proofErr w:type="spellStart"/>
            <w:r w:rsidRPr="00CF36FD">
              <w:rPr>
                <w:rFonts w:asciiTheme="majorHAnsi" w:eastAsia="Times New Roman" w:hAnsiTheme="majorHAnsi" w:cs="Calibri"/>
                <w:b/>
                <w:bCs/>
                <w:color w:val="FFFFFF"/>
                <w:sz w:val="20"/>
                <w:szCs w:val="20"/>
                <w:lang w:eastAsia="it-IT"/>
              </w:rPr>
              <w:t>contract</w:t>
            </w:r>
            <w:proofErr w:type="spellEnd"/>
          </w:p>
        </w:tc>
        <w:tc>
          <w:tcPr>
            <w:tcW w:w="1805" w:type="dxa"/>
            <w:tcBorders>
              <w:top w:val="nil"/>
              <w:left w:val="nil"/>
              <w:bottom w:val="nil"/>
              <w:right w:val="nil"/>
            </w:tcBorders>
            <w:shd w:val="clear" w:color="000000" w:fill="1F497D"/>
            <w:vAlign w:val="center"/>
            <w:hideMark/>
          </w:tcPr>
          <w:p w:rsidR="00D66F0A" w:rsidRPr="00CF36FD" w:rsidRDefault="00D66F0A" w:rsidP="00D66F0A">
            <w:pPr>
              <w:jc w:val="center"/>
              <w:rPr>
                <w:rFonts w:asciiTheme="majorHAnsi" w:eastAsia="Times New Roman" w:hAnsiTheme="majorHAnsi" w:cs="Calibri"/>
                <w:b/>
                <w:bCs/>
                <w:color w:val="FFFFFF"/>
                <w:sz w:val="20"/>
                <w:szCs w:val="20"/>
                <w:lang w:eastAsia="it-IT"/>
              </w:rPr>
            </w:pPr>
            <w:proofErr w:type="spellStart"/>
            <w:r w:rsidRPr="00CF36FD">
              <w:rPr>
                <w:rFonts w:asciiTheme="majorHAnsi" w:eastAsia="Times New Roman" w:hAnsiTheme="majorHAnsi" w:cs="Calibri"/>
                <w:b/>
                <w:bCs/>
                <w:color w:val="FFFFFF"/>
                <w:sz w:val="20"/>
                <w:szCs w:val="20"/>
                <w:lang w:eastAsia="it-IT"/>
              </w:rPr>
              <w:t>Apprenticeship</w:t>
            </w:r>
            <w:proofErr w:type="spellEnd"/>
            <w:r w:rsidRPr="00CF36FD">
              <w:rPr>
                <w:rFonts w:asciiTheme="majorHAnsi" w:eastAsia="Times New Roman" w:hAnsiTheme="majorHAnsi" w:cs="Calibri"/>
                <w:b/>
                <w:bCs/>
                <w:color w:val="FFFFFF"/>
                <w:sz w:val="20"/>
                <w:szCs w:val="20"/>
                <w:lang w:eastAsia="it-IT"/>
              </w:rPr>
              <w:t xml:space="preserve"> </w:t>
            </w:r>
            <w:proofErr w:type="spellStart"/>
            <w:r w:rsidRPr="00CF36FD">
              <w:rPr>
                <w:rFonts w:asciiTheme="majorHAnsi" w:eastAsia="Times New Roman" w:hAnsiTheme="majorHAnsi" w:cs="Calibri"/>
                <w:b/>
                <w:bCs/>
                <w:color w:val="FFFFFF"/>
                <w:sz w:val="20"/>
                <w:szCs w:val="20"/>
                <w:lang w:eastAsia="it-IT"/>
              </w:rPr>
              <w:t>contract</w:t>
            </w:r>
            <w:proofErr w:type="spellEnd"/>
          </w:p>
        </w:tc>
        <w:tc>
          <w:tcPr>
            <w:tcW w:w="2488" w:type="dxa"/>
            <w:tcBorders>
              <w:top w:val="nil"/>
              <w:left w:val="nil"/>
              <w:bottom w:val="nil"/>
              <w:right w:val="nil"/>
            </w:tcBorders>
            <w:shd w:val="clear" w:color="000000" w:fill="1F497D"/>
            <w:vAlign w:val="center"/>
            <w:hideMark/>
          </w:tcPr>
          <w:p w:rsidR="00D66F0A" w:rsidRPr="00CF36FD" w:rsidRDefault="00D66F0A" w:rsidP="00D66F0A">
            <w:pPr>
              <w:jc w:val="center"/>
              <w:rPr>
                <w:rFonts w:asciiTheme="majorHAnsi" w:eastAsia="Times New Roman" w:hAnsiTheme="majorHAnsi" w:cs="Calibri"/>
                <w:b/>
                <w:bCs/>
                <w:color w:val="FFFFFF"/>
                <w:sz w:val="20"/>
                <w:szCs w:val="20"/>
                <w:lang w:val="en-US" w:eastAsia="it-IT"/>
              </w:rPr>
            </w:pPr>
            <w:r w:rsidRPr="00CF36FD">
              <w:rPr>
                <w:rFonts w:asciiTheme="majorHAnsi" w:eastAsia="Times New Roman" w:hAnsiTheme="majorHAnsi" w:cs="Calibri"/>
                <w:b/>
                <w:bCs/>
                <w:color w:val="FFFFFF"/>
                <w:sz w:val="20"/>
                <w:szCs w:val="20"/>
                <w:lang w:val="en-US" w:eastAsia="it-IT"/>
              </w:rPr>
              <w:t>Transformation of a fixed-term contract into a permanent contract</w:t>
            </w:r>
          </w:p>
        </w:tc>
        <w:tc>
          <w:tcPr>
            <w:tcW w:w="2140" w:type="dxa"/>
            <w:tcBorders>
              <w:top w:val="nil"/>
              <w:left w:val="nil"/>
              <w:bottom w:val="nil"/>
              <w:right w:val="nil"/>
            </w:tcBorders>
            <w:shd w:val="clear" w:color="000000" w:fill="1F497D"/>
            <w:vAlign w:val="center"/>
            <w:hideMark/>
          </w:tcPr>
          <w:p w:rsidR="00D66F0A" w:rsidRPr="00CF36FD" w:rsidRDefault="00D66F0A" w:rsidP="00D66F0A">
            <w:pPr>
              <w:jc w:val="center"/>
              <w:rPr>
                <w:rFonts w:asciiTheme="majorHAnsi" w:eastAsia="Times New Roman" w:hAnsiTheme="majorHAnsi" w:cs="Calibri"/>
                <w:b/>
                <w:bCs/>
                <w:color w:val="FFFFFF"/>
                <w:sz w:val="20"/>
                <w:szCs w:val="20"/>
                <w:lang w:eastAsia="it-IT"/>
              </w:rPr>
            </w:pPr>
            <w:r w:rsidRPr="00CF36FD">
              <w:rPr>
                <w:rFonts w:asciiTheme="majorHAnsi" w:eastAsia="Times New Roman" w:hAnsiTheme="majorHAnsi" w:cs="Calibri"/>
                <w:b/>
                <w:bCs/>
                <w:color w:val="FFFFFF"/>
                <w:sz w:val="20"/>
                <w:szCs w:val="20"/>
                <w:lang w:eastAsia="it-IT"/>
              </w:rPr>
              <w:t>Total</w:t>
            </w:r>
          </w:p>
        </w:tc>
      </w:tr>
      <w:tr w:rsidR="00D66F0A" w:rsidRPr="00CF36FD" w:rsidTr="00CF36FD">
        <w:trPr>
          <w:trHeight w:val="300"/>
        </w:trPr>
        <w:tc>
          <w:tcPr>
            <w:tcW w:w="1560"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Calibri"/>
                <w:color w:val="000000"/>
                <w:sz w:val="20"/>
                <w:szCs w:val="20"/>
                <w:lang w:eastAsia="it-IT"/>
              </w:rPr>
            </w:pPr>
            <w:r w:rsidRPr="00CF36FD">
              <w:rPr>
                <w:rFonts w:asciiTheme="majorHAnsi" w:eastAsia="Times New Roman" w:hAnsiTheme="majorHAnsi" w:cs="Calibri"/>
                <w:color w:val="000000"/>
                <w:sz w:val="20"/>
                <w:szCs w:val="20"/>
                <w:lang w:eastAsia="it-IT"/>
              </w:rPr>
              <w:t>Abruzzo</w:t>
            </w:r>
          </w:p>
        </w:tc>
        <w:tc>
          <w:tcPr>
            <w:tcW w:w="1660"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Calibri"/>
                <w:color w:val="000000"/>
                <w:sz w:val="20"/>
                <w:szCs w:val="20"/>
                <w:lang w:eastAsia="it-IT"/>
              </w:rPr>
            </w:pPr>
            <w:r w:rsidRPr="00CF36FD">
              <w:rPr>
                <w:rFonts w:asciiTheme="majorHAnsi" w:eastAsia="Times New Roman" w:hAnsiTheme="majorHAnsi" w:cs="Calibri"/>
                <w:color w:val="000000"/>
                <w:sz w:val="20"/>
                <w:szCs w:val="20"/>
                <w:lang w:eastAsia="it-IT"/>
              </w:rPr>
              <w:t>1,496</w:t>
            </w:r>
          </w:p>
        </w:tc>
        <w:tc>
          <w:tcPr>
            <w:tcW w:w="1805"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Calibri"/>
                <w:color w:val="000000"/>
                <w:sz w:val="20"/>
                <w:szCs w:val="20"/>
                <w:lang w:eastAsia="it-IT"/>
              </w:rPr>
            </w:pPr>
            <w:r w:rsidRPr="00CF36FD">
              <w:rPr>
                <w:rFonts w:asciiTheme="majorHAnsi" w:eastAsia="Times New Roman" w:hAnsiTheme="majorHAnsi" w:cs="Calibri"/>
                <w:color w:val="000000"/>
                <w:sz w:val="20"/>
                <w:szCs w:val="20"/>
                <w:lang w:eastAsia="it-IT"/>
              </w:rPr>
              <w:t>119</w:t>
            </w:r>
          </w:p>
        </w:tc>
        <w:tc>
          <w:tcPr>
            <w:tcW w:w="2488"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Calibri"/>
                <w:color w:val="000000"/>
                <w:sz w:val="20"/>
                <w:szCs w:val="20"/>
                <w:lang w:eastAsia="it-IT"/>
              </w:rPr>
            </w:pPr>
            <w:r w:rsidRPr="00CF36FD">
              <w:rPr>
                <w:rFonts w:asciiTheme="majorHAnsi" w:eastAsia="Times New Roman" w:hAnsiTheme="majorHAnsi" w:cs="Calibri"/>
                <w:color w:val="000000"/>
                <w:sz w:val="20"/>
                <w:szCs w:val="20"/>
                <w:lang w:eastAsia="it-IT"/>
              </w:rPr>
              <w:t>924</w:t>
            </w:r>
          </w:p>
        </w:tc>
        <w:tc>
          <w:tcPr>
            <w:tcW w:w="2140"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Calibri"/>
                <w:color w:val="000000"/>
                <w:sz w:val="20"/>
                <w:szCs w:val="20"/>
                <w:lang w:eastAsia="it-IT"/>
              </w:rPr>
            </w:pPr>
            <w:r w:rsidRPr="00CF36FD">
              <w:rPr>
                <w:rFonts w:asciiTheme="majorHAnsi" w:eastAsia="Times New Roman" w:hAnsiTheme="majorHAnsi" w:cs="Calibri"/>
                <w:color w:val="000000"/>
                <w:sz w:val="20"/>
                <w:szCs w:val="20"/>
                <w:lang w:eastAsia="it-IT"/>
              </w:rPr>
              <w:t>2539</w:t>
            </w:r>
          </w:p>
        </w:tc>
      </w:tr>
      <w:tr w:rsidR="00D66F0A" w:rsidRPr="00CF36FD" w:rsidTr="00CF36FD">
        <w:trPr>
          <w:trHeight w:val="300"/>
        </w:trPr>
        <w:tc>
          <w:tcPr>
            <w:tcW w:w="1560"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Calibri"/>
                <w:color w:val="000000"/>
                <w:sz w:val="20"/>
                <w:szCs w:val="20"/>
                <w:lang w:eastAsia="it-IT"/>
              </w:rPr>
            </w:pPr>
            <w:r w:rsidRPr="00CF36FD">
              <w:rPr>
                <w:rFonts w:asciiTheme="majorHAnsi" w:eastAsia="Times New Roman" w:hAnsiTheme="majorHAnsi" w:cs="Calibri"/>
                <w:color w:val="000000"/>
                <w:sz w:val="20"/>
                <w:szCs w:val="20"/>
                <w:lang w:eastAsia="it-IT"/>
              </w:rPr>
              <w:t>Basilicata</w:t>
            </w:r>
          </w:p>
        </w:tc>
        <w:tc>
          <w:tcPr>
            <w:tcW w:w="1660"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Calibri"/>
                <w:color w:val="000000"/>
                <w:sz w:val="20"/>
                <w:szCs w:val="20"/>
                <w:lang w:eastAsia="it-IT"/>
              </w:rPr>
            </w:pPr>
            <w:r w:rsidRPr="00CF36FD">
              <w:rPr>
                <w:rFonts w:asciiTheme="majorHAnsi" w:eastAsia="Times New Roman" w:hAnsiTheme="majorHAnsi" w:cs="Calibri"/>
                <w:color w:val="000000"/>
                <w:sz w:val="20"/>
                <w:szCs w:val="20"/>
                <w:lang w:eastAsia="it-IT"/>
              </w:rPr>
              <w:t>1,904</w:t>
            </w:r>
          </w:p>
        </w:tc>
        <w:tc>
          <w:tcPr>
            <w:tcW w:w="1805"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Calibri"/>
                <w:color w:val="000000"/>
                <w:sz w:val="20"/>
                <w:szCs w:val="20"/>
                <w:lang w:eastAsia="it-IT"/>
              </w:rPr>
            </w:pPr>
            <w:r w:rsidRPr="00CF36FD">
              <w:rPr>
                <w:rFonts w:asciiTheme="majorHAnsi" w:eastAsia="Times New Roman" w:hAnsiTheme="majorHAnsi" w:cs="Calibri"/>
                <w:color w:val="000000"/>
                <w:sz w:val="20"/>
                <w:szCs w:val="20"/>
                <w:lang w:eastAsia="it-IT"/>
              </w:rPr>
              <w:t>265</w:t>
            </w:r>
          </w:p>
        </w:tc>
        <w:tc>
          <w:tcPr>
            <w:tcW w:w="2488"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Calibri"/>
                <w:color w:val="000000"/>
                <w:sz w:val="20"/>
                <w:szCs w:val="20"/>
                <w:lang w:eastAsia="it-IT"/>
              </w:rPr>
            </w:pPr>
            <w:r w:rsidRPr="00CF36FD">
              <w:rPr>
                <w:rFonts w:asciiTheme="majorHAnsi" w:eastAsia="Times New Roman" w:hAnsiTheme="majorHAnsi" w:cs="Calibri"/>
                <w:color w:val="000000"/>
                <w:sz w:val="20"/>
                <w:szCs w:val="20"/>
                <w:lang w:eastAsia="it-IT"/>
              </w:rPr>
              <w:t>698</w:t>
            </w:r>
          </w:p>
        </w:tc>
        <w:tc>
          <w:tcPr>
            <w:tcW w:w="2140"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Calibri"/>
                <w:color w:val="000000"/>
                <w:sz w:val="20"/>
                <w:szCs w:val="20"/>
                <w:lang w:eastAsia="it-IT"/>
              </w:rPr>
            </w:pPr>
            <w:r w:rsidRPr="00CF36FD">
              <w:rPr>
                <w:rFonts w:asciiTheme="majorHAnsi" w:eastAsia="Times New Roman" w:hAnsiTheme="majorHAnsi" w:cs="Calibri"/>
                <w:color w:val="000000"/>
                <w:sz w:val="20"/>
                <w:szCs w:val="20"/>
                <w:lang w:eastAsia="it-IT"/>
              </w:rPr>
              <w:t>2,867</w:t>
            </w:r>
          </w:p>
        </w:tc>
      </w:tr>
      <w:tr w:rsidR="00D66F0A" w:rsidRPr="00CF36FD" w:rsidTr="00CF36FD">
        <w:trPr>
          <w:trHeight w:val="300"/>
        </w:trPr>
        <w:tc>
          <w:tcPr>
            <w:tcW w:w="1560"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Calibri"/>
                <w:color w:val="000000"/>
                <w:sz w:val="20"/>
                <w:szCs w:val="20"/>
                <w:lang w:eastAsia="it-IT"/>
              </w:rPr>
            </w:pPr>
            <w:r w:rsidRPr="00CF36FD">
              <w:rPr>
                <w:rFonts w:asciiTheme="majorHAnsi" w:eastAsia="Times New Roman" w:hAnsiTheme="majorHAnsi" w:cs="Calibri"/>
                <w:color w:val="000000"/>
                <w:sz w:val="20"/>
                <w:szCs w:val="20"/>
                <w:lang w:eastAsia="it-IT"/>
              </w:rPr>
              <w:t>Calabria</w:t>
            </w:r>
          </w:p>
        </w:tc>
        <w:tc>
          <w:tcPr>
            <w:tcW w:w="1660"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Calibri"/>
                <w:color w:val="000000"/>
                <w:sz w:val="20"/>
                <w:szCs w:val="20"/>
                <w:lang w:eastAsia="it-IT"/>
              </w:rPr>
            </w:pPr>
            <w:r w:rsidRPr="00CF36FD">
              <w:rPr>
                <w:rFonts w:asciiTheme="majorHAnsi" w:eastAsia="Times New Roman" w:hAnsiTheme="majorHAnsi" w:cs="Calibri"/>
                <w:color w:val="000000"/>
                <w:sz w:val="20"/>
                <w:szCs w:val="20"/>
                <w:lang w:eastAsia="it-IT"/>
              </w:rPr>
              <w:t>4,359</w:t>
            </w:r>
          </w:p>
        </w:tc>
        <w:tc>
          <w:tcPr>
            <w:tcW w:w="1805"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Calibri"/>
                <w:color w:val="000000"/>
                <w:sz w:val="20"/>
                <w:szCs w:val="20"/>
                <w:lang w:eastAsia="it-IT"/>
              </w:rPr>
            </w:pPr>
            <w:r w:rsidRPr="00CF36FD">
              <w:rPr>
                <w:rFonts w:asciiTheme="majorHAnsi" w:eastAsia="Times New Roman" w:hAnsiTheme="majorHAnsi" w:cs="Calibri"/>
                <w:color w:val="000000"/>
                <w:sz w:val="20"/>
                <w:szCs w:val="20"/>
                <w:lang w:eastAsia="it-IT"/>
              </w:rPr>
              <w:t>464</w:t>
            </w:r>
          </w:p>
        </w:tc>
        <w:tc>
          <w:tcPr>
            <w:tcW w:w="2488"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Calibri"/>
                <w:color w:val="000000"/>
                <w:sz w:val="20"/>
                <w:szCs w:val="20"/>
                <w:lang w:eastAsia="it-IT"/>
              </w:rPr>
            </w:pPr>
            <w:r w:rsidRPr="00CF36FD">
              <w:rPr>
                <w:rFonts w:asciiTheme="majorHAnsi" w:eastAsia="Times New Roman" w:hAnsiTheme="majorHAnsi" w:cs="Calibri"/>
                <w:color w:val="000000"/>
                <w:sz w:val="20"/>
                <w:szCs w:val="20"/>
                <w:lang w:eastAsia="it-IT"/>
              </w:rPr>
              <w:t>1,309</w:t>
            </w:r>
          </w:p>
        </w:tc>
        <w:tc>
          <w:tcPr>
            <w:tcW w:w="2140"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Calibri"/>
                <w:color w:val="000000"/>
                <w:sz w:val="20"/>
                <w:szCs w:val="20"/>
                <w:lang w:eastAsia="it-IT"/>
              </w:rPr>
            </w:pPr>
            <w:r w:rsidRPr="00CF36FD">
              <w:rPr>
                <w:rFonts w:asciiTheme="majorHAnsi" w:eastAsia="Times New Roman" w:hAnsiTheme="majorHAnsi" w:cs="Calibri"/>
                <w:color w:val="000000"/>
                <w:sz w:val="20"/>
                <w:szCs w:val="20"/>
                <w:lang w:eastAsia="it-IT"/>
              </w:rPr>
              <w:t>6,132</w:t>
            </w:r>
          </w:p>
        </w:tc>
      </w:tr>
      <w:tr w:rsidR="00D66F0A" w:rsidRPr="00CF36FD" w:rsidTr="00CF36FD">
        <w:trPr>
          <w:trHeight w:val="300"/>
        </w:trPr>
        <w:tc>
          <w:tcPr>
            <w:tcW w:w="1560"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Calibri"/>
                <w:color w:val="000000"/>
                <w:sz w:val="20"/>
                <w:szCs w:val="20"/>
                <w:lang w:eastAsia="it-IT"/>
              </w:rPr>
            </w:pPr>
            <w:r w:rsidRPr="00CF36FD">
              <w:rPr>
                <w:rFonts w:asciiTheme="majorHAnsi" w:eastAsia="Times New Roman" w:hAnsiTheme="majorHAnsi" w:cs="Calibri"/>
                <w:color w:val="000000"/>
                <w:sz w:val="20"/>
                <w:szCs w:val="20"/>
                <w:lang w:eastAsia="it-IT"/>
              </w:rPr>
              <w:t>Campania</w:t>
            </w:r>
          </w:p>
        </w:tc>
        <w:tc>
          <w:tcPr>
            <w:tcW w:w="1660"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Calibri"/>
                <w:color w:val="000000"/>
                <w:sz w:val="20"/>
                <w:szCs w:val="20"/>
                <w:lang w:eastAsia="it-IT"/>
              </w:rPr>
            </w:pPr>
            <w:r w:rsidRPr="00CF36FD">
              <w:rPr>
                <w:rFonts w:asciiTheme="majorHAnsi" w:eastAsia="Times New Roman" w:hAnsiTheme="majorHAnsi" w:cs="Calibri"/>
                <w:color w:val="000000"/>
                <w:sz w:val="20"/>
                <w:szCs w:val="20"/>
                <w:lang w:eastAsia="it-IT"/>
              </w:rPr>
              <w:t>21,041</w:t>
            </w:r>
          </w:p>
        </w:tc>
        <w:tc>
          <w:tcPr>
            <w:tcW w:w="1805"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Calibri"/>
                <w:color w:val="000000"/>
                <w:sz w:val="20"/>
                <w:szCs w:val="20"/>
                <w:lang w:eastAsia="it-IT"/>
              </w:rPr>
            </w:pPr>
            <w:r w:rsidRPr="00CF36FD">
              <w:rPr>
                <w:rFonts w:asciiTheme="majorHAnsi" w:eastAsia="Times New Roman" w:hAnsiTheme="majorHAnsi" w:cs="Calibri"/>
                <w:color w:val="000000"/>
                <w:sz w:val="20"/>
                <w:szCs w:val="20"/>
                <w:lang w:eastAsia="it-IT"/>
              </w:rPr>
              <w:t>1,336</w:t>
            </w:r>
          </w:p>
        </w:tc>
        <w:tc>
          <w:tcPr>
            <w:tcW w:w="2488"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Calibri"/>
                <w:color w:val="000000"/>
                <w:sz w:val="20"/>
                <w:szCs w:val="20"/>
                <w:lang w:eastAsia="it-IT"/>
              </w:rPr>
            </w:pPr>
            <w:r w:rsidRPr="00CF36FD">
              <w:rPr>
                <w:rFonts w:asciiTheme="majorHAnsi" w:eastAsia="Times New Roman" w:hAnsiTheme="majorHAnsi" w:cs="Calibri"/>
                <w:color w:val="000000"/>
                <w:sz w:val="20"/>
                <w:szCs w:val="20"/>
                <w:lang w:eastAsia="it-IT"/>
              </w:rPr>
              <w:t>5,681</w:t>
            </w:r>
          </w:p>
        </w:tc>
        <w:tc>
          <w:tcPr>
            <w:tcW w:w="2140"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Calibri"/>
                <w:color w:val="000000"/>
                <w:sz w:val="20"/>
                <w:szCs w:val="20"/>
                <w:lang w:eastAsia="it-IT"/>
              </w:rPr>
            </w:pPr>
            <w:r w:rsidRPr="00CF36FD">
              <w:rPr>
                <w:rFonts w:asciiTheme="majorHAnsi" w:eastAsia="Times New Roman" w:hAnsiTheme="majorHAnsi" w:cs="Calibri"/>
                <w:color w:val="000000"/>
                <w:sz w:val="20"/>
                <w:szCs w:val="20"/>
                <w:lang w:eastAsia="it-IT"/>
              </w:rPr>
              <w:t>28,058</w:t>
            </w:r>
          </w:p>
        </w:tc>
      </w:tr>
      <w:tr w:rsidR="00D66F0A" w:rsidRPr="00CF36FD" w:rsidTr="00CF36FD">
        <w:trPr>
          <w:trHeight w:val="300"/>
        </w:trPr>
        <w:tc>
          <w:tcPr>
            <w:tcW w:w="1560"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Calibri"/>
                <w:color w:val="000000"/>
                <w:sz w:val="20"/>
                <w:szCs w:val="20"/>
                <w:lang w:eastAsia="it-IT"/>
              </w:rPr>
            </w:pPr>
            <w:r w:rsidRPr="00CF36FD">
              <w:rPr>
                <w:rFonts w:asciiTheme="majorHAnsi" w:eastAsia="Times New Roman" w:hAnsiTheme="majorHAnsi" w:cs="Calibri"/>
                <w:color w:val="000000"/>
                <w:sz w:val="20"/>
                <w:szCs w:val="20"/>
                <w:lang w:eastAsia="it-IT"/>
              </w:rPr>
              <w:t>Molise</w:t>
            </w:r>
          </w:p>
        </w:tc>
        <w:tc>
          <w:tcPr>
            <w:tcW w:w="1660"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Calibri"/>
                <w:color w:val="000000"/>
                <w:sz w:val="20"/>
                <w:szCs w:val="20"/>
                <w:lang w:eastAsia="it-IT"/>
              </w:rPr>
            </w:pPr>
            <w:r w:rsidRPr="00CF36FD">
              <w:rPr>
                <w:rFonts w:asciiTheme="majorHAnsi" w:eastAsia="Times New Roman" w:hAnsiTheme="majorHAnsi" w:cs="Calibri"/>
                <w:color w:val="000000"/>
                <w:sz w:val="20"/>
                <w:szCs w:val="20"/>
                <w:lang w:eastAsia="it-IT"/>
              </w:rPr>
              <w:t>400</w:t>
            </w:r>
          </w:p>
        </w:tc>
        <w:tc>
          <w:tcPr>
            <w:tcW w:w="1805"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Calibri"/>
                <w:color w:val="000000"/>
                <w:sz w:val="20"/>
                <w:szCs w:val="20"/>
                <w:lang w:eastAsia="it-IT"/>
              </w:rPr>
            </w:pPr>
            <w:r w:rsidRPr="00CF36FD">
              <w:rPr>
                <w:rFonts w:asciiTheme="majorHAnsi" w:eastAsia="Times New Roman" w:hAnsiTheme="majorHAnsi" w:cs="Calibri"/>
                <w:color w:val="000000"/>
                <w:sz w:val="20"/>
                <w:szCs w:val="20"/>
                <w:lang w:eastAsia="it-IT"/>
              </w:rPr>
              <w:t>35</w:t>
            </w:r>
          </w:p>
        </w:tc>
        <w:tc>
          <w:tcPr>
            <w:tcW w:w="2488"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Calibri"/>
                <w:color w:val="000000"/>
                <w:sz w:val="20"/>
                <w:szCs w:val="20"/>
                <w:lang w:eastAsia="it-IT"/>
              </w:rPr>
            </w:pPr>
            <w:r w:rsidRPr="00CF36FD">
              <w:rPr>
                <w:rFonts w:asciiTheme="majorHAnsi" w:eastAsia="Times New Roman" w:hAnsiTheme="majorHAnsi" w:cs="Calibri"/>
                <w:color w:val="000000"/>
                <w:sz w:val="20"/>
                <w:szCs w:val="20"/>
                <w:lang w:eastAsia="it-IT"/>
              </w:rPr>
              <w:t>225</w:t>
            </w:r>
          </w:p>
        </w:tc>
        <w:tc>
          <w:tcPr>
            <w:tcW w:w="2140"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Calibri"/>
                <w:color w:val="000000"/>
                <w:sz w:val="20"/>
                <w:szCs w:val="20"/>
                <w:lang w:eastAsia="it-IT"/>
              </w:rPr>
            </w:pPr>
            <w:r w:rsidRPr="00CF36FD">
              <w:rPr>
                <w:rFonts w:asciiTheme="majorHAnsi" w:eastAsia="Times New Roman" w:hAnsiTheme="majorHAnsi" w:cs="Calibri"/>
                <w:color w:val="000000"/>
                <w:sz w:val="20"/>
                <w:szCs w:val="20"/>
                <w:lang w:eastAsia="it-IT"/>
              </w:rPr>
              <w:t>660</w:t>
            </w:r>
          </w:p>
        </w:tc>
      </w:tr>
      <w:tr w:rsidR="00D66F0A" w:rsidRPr="00CF36FD" w:rsidTr="00CF36FD">
        <w:trPr>
          <w:trHeight w:val="300"/>
        </w:trPr>
        <w:tc>
          <w:tcPr>
            <w:tcW w:w="1560"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Calibri"/>
                <w:color w:val="000000"/>
                <w:sz w:val="20"/>
                <w:szCs w:val="20"/>
                <w:lang w:eastAsia="it-IT"/>
              </w:rPr>
            </w:pPr>
            <w:r w:rsidRPr="00CF36FD">
              <w:rPr>
                <w:rFonts w:asciiTheme="majorHAnsi" w:eastAsia="Times New Roman" w:hAnsiTheme="majorHAnsi" w:cs="Calibri"/>
                <w:color w:val="000000"/>
                <w:sz w:val="20"/>
                <w:szCs w:val="20"/>
                <w:lang w:eastAsia="it-IT"/>
              </w:rPr>
              <w:t>Puglia</w:t>
            </w:r>
          </w:p>
        </w:tc>
        <w:tc>
          <w:tcPr>
            <w:tcW w:w="1660"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Calibri"/>
                <w:color w:val="000000"/>
                <w:sz w:val="20"/>
                <w:szCs w:val="20"/>
                <w:lang w:eastAsia="it-IT"/>
              </w:rPr>
            </w:pPr>
            <w:r w:rsidRPr="00CF36FD">
              <w:rPr>
                <w:rFonts w:asciiTheme="majorHAnsi" w:eastAsia="Times New Roman" w:hAnsiTheme="majorHAnsi" w:cs="Calibri"/>
                <w:color w:val="000000"/>
                <w:sz w:val="20"/>
                <w:szCs w:val="20"/>
                <w:lang w:eastAsia="it-IT"/>
              </w:rPr>
              <w:t>12,328</w:t>
            </w:r>
          </w:p>
        </w:tc>
        <w:tc>
          <w:tcPr>
            <w:tcW w:w="1805"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Calibri"/>
                <w:color w:val="000000"/>
                <w:sz w:val="20"/>
                <w:szCs w:val="20"/>
                <w:lang w:eastAsia="it-IT"/>
              </w:rPr>
            </w:pPr>
            <w:r w:rsidRPr="00CF36FD">
              <w:rPr>
                <w:rFonts w:asciiTheme="majorHAnsi" w:eastAsia="Times New Roman" w:hAnsiTheme="majorHAnsi" w:cs="Calibri"/>
                <w:color w:val="000000"/>
                <w:sz w:val="20"/>
                <w:szCs w:val="20"/>
                <w:lang w:eastAsia="it-IT"/>
              </w:rPr>
              <w:t>1,137</w:t>
            </w:r>
          </w:p>
        </w:tc>
        <w:tc>
          <w:tcPr>
            <w:tcW w:w="2488"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Calibri"/>
                <w:color w:val="000000"/>
                <w:sz w:val="20"/>
                <w:szCs w:val="20"/>
                <w:lang w:eastAsia="it-IT"/>
              </w:rPr>
            </w:pPr>
            <w:r w:rsidRPr="00CF36FD">
              <w:rPr>
                <w:rFonts w:asciiTheme="majorHAnsi" w:eastAsia="Times New Roman" w:hAnsiTheme="majorHAnsi" w:cs="Calibri"/>
                <w:color w:val="000000"/>
                <w:sz w:val="20"/>
                <w:szCs w:val="20"/>
                <w:lang w:eastAsia="it-IT"/>
              </w:rPr>
              <w:t>4,598</w:t>
            </w:r>
          </w:p>
        </w:tc>
        <w:tc>
          <w:tcPr>
            <w:tcW w:w="2140"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Calibri"/>
                <w:color w:val="000000"/>
                <w:sz w:val="20"/>
                <w:szCs w:val="20"/>
                <w:lang w:eastAsia="it-IT"/>
              </w:rPr>
            </w:pPr>
            <w:r w:rsidRPr="00CF36FD">
              <w:rPr>
                <w:rFonts w:asciiTheme="majorHAnsi" w:eastAsia="Times New Roman" w:hAnsiTheme="majorHAnsi" w:cs="Calibri"/>
                <w:color w:val="000000"/>
                <w:sz w:val="20"/>
                <w:szCs w:val="20"/>
                <w:lang w:eastAsia="it-IT"/>
              </w:rPr>
              <w:t>18,063</w:t>
            </w:r>
          </w:p>
        </w:tc>
      </w:tr>
      <w:tr w:rsidR="00D66F0A" w:rsidRPr="00CF36FD" w:rsidTr="00CF36FD">
        <w:trPr>
          <w:trHeight w:val="300"/>
        </w:trPr>
        <w:tc>
          <w:tcPr>
            <w:tcW w:w="1560"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Calibri"/>
                <w:color w:val="000000"/>
                <w:sz w:val="20"/>
                <w:szCs w:val="20"/>
                <w:lang w:eastAsia="it-IT"/>
              </w:rPr>
            </w:pPr>
            <w:r w:rsidRPr="00CF36FD">
              <w:rPr>
                <w:rFonts w:asciiTheme="majorHAnsi" w:eastAsia="Times New Roman" w:hAnsiTheme="majorHAnsi" w:cs="Calibri"/>
                <w:color w:val="000000"/>
                <w:sz w:val="20"/>
                <w:szCs w:val="20"/>
                <w:lang w:eastAsia="it-IT"/>
              </w:rPr>
              <w:t>Sardegna</w:t>
            </w:r>
          </w:p>
        </w:tc>
        <w:tc>
          <w:tcPr>
            <w:tcW w:w="1660"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Calibri"/>
                <w:color w:val="000000"/>
                <w:sz w:val="20"/>
                <w:szCs w:val="20"/>
                <w:lang w:eastAsia="it-IT"/>
              </w:rPr>
            </w:pPr>
            <w:r w:rsidRPr="00CF36FD">
              <w:rPr>
                <w:rFonts w:asciiTheme="majorHAnsi" w:eastAsia="Times New Roman" w:hAnsiTheme="majorHAnsi" w:cs="Calibri"/>
                <w:color w:val="000000"/>
                <w:sz w:val="20"/>
                <w:szCs w:val="20"/>
                <w:lang w:eastAsia="it-IT"/>
              </w:rPr>
              <w:t>3,137</w:t>
            </w:r>
          </w:p>
        </w:tc>
        <w:tc>
          <w:tcPr>
            <w:tcW w:w="1805"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Calibri"/>
                <w:color w:val="000000"/>
                <w:sz w:val="20"/>
                <w:szCs w:val="20"/>
                <w:lang w:eastAsia="it-IT"/>
              </w:rPr>
            </w:pPr>
            <w:r w:rsidRPr="00CF36FD">
              <w:rPr>
                <w:rFonts w:asciiTheme="majorHAnsi" w:eastAsia="Times New Roman" w:hAnsiTheme="majorHAnsi" w:cs="Calibri"/>
                <w:color w:val="000000"/>
                <w:sz w:val="20"/>
                <w:szCs w:val="20"/>
                <w:lang w:eastAsia="it-IT"/>
              </w:rPr>
              <w:t>166</w:t>
            </w:r>
          </w:p>
        </w:tc>
        <w:tc>
          <w:tcPr>
            <w:tcW w:w="2488"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Calibri"/>
                <w:color w:val="000000"/>
                <w:sz w:val="20"/>
                <w:szCs w:val="20"/>
                <w:lang w:eastAsia="it-IT"/>
              </w:rPr>
            </w:pPr>
            <w:r w:rsidRPr="00CF36FD">
              <w:rPr>
                <w:rFonts w:asciiTheme="majorHAnsi" w:eastAsia="Times New Roman" w:hAnsiTheme="majorHAnsi" w:cs="Calibri"/>
                <w:color w:val="000000"/>
                <w:sz w:val="20"/>
                <w:szCs w:val="20"/>
                <w:lang w:eastAsia="it-IT"/>
              </w:rPr>
              <w:t>1,387</w:t>
            </w:r>
          </w:p>
        </w:tc>
        <w:tc>
          <w:tcPr>
            <w:tcW w:w="2140"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Calibri"/>
                <w:color w:val="000000"/>
                <w:sz w:val="20"/>
                <w:szCs w:val="20"/>
                <w:lang w:eastAsia="it-IT"/>
              </w:rPr>
            </w:pPr>
            <w:r w:rsidRPr="00CF36FD">
              <w:rPr>
                <w:rFonts w:asciiTheme="majorHAnsi" w:eastAsia="Times New Roman" w:hAnsiTheme="majorHAnsi" w:cs="Calibri"/>
                <w:color w:val="000000"/>
                <w:sz w:val="20"/>
                <w:szCs w:val="20"/>
                <w:lang w:eastAsia="it-IT"/>
              </w:rPr>
              <w:t>4,690</w:t>
            </w:r>
          </w:p>
        </w:tc>
      </w:tr>
      <w:tr w:rsidR="00D66F0A" w:rsidRPr="00CF36FD" w:rsidTr="00CF36FD">
        <w:trPr>
          <w:trHeight w:val="315"/>
        </w:trPr>
        <w:tc>
          <w:tcPr>
            <w:tcW w:w="1560"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Calibri"/>
                <w:color w:val="000000"/>
                <w:sz w:val="20"/>
                <w:szCs w:val="20"/>
                <w:lang w:eastAsia="it-IT"/>
              </w:rPr>
            </w:pPr>
            <w:r w:rsidRPr="00CF36FD">
              <w:rPr>
                <w:rFonts w:asciiTheme="majorHAnsi" w:eastAsia="Times New Roman" w:hAnsiTheme="majorHAnsi" w:cs="Calibri"/>
                <w:color w:val="000000"/>
                <w:sz w:val="20"/>
                <w:szCs w:val="20"/>
                <w:lang w:eastAsia="it-IT"/>
              </w:rPr>
              <w:t>Sicilia</w:t>
            </w:r>
          </w:p>
        </w:tc>
        <w:tc>
          <w:tcPr>
            <w:tcW w:w="1660"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Calibri"/>
                <w:color w:val="000000"/>
                <w:sz w:val="20"/>
                <w:szCs w:val="20"/>
                <w:lang w:eastAsia="it-IT"/>
              </w:rPr>
            </w:pPr>
            <w:r w:rsidRPr="00CF36FD">
              <w:rPr>
                <w:rFonts w:asciiTheme="majorHAnsi" w:eastAsia="Times New Roman" w:hAnsiTheme="majorHAnsi" w:cs="Calibri"/>
                <w:color w:val="000000"/>
                <w:sz w:val="20"/>
                <w:szCs w:val="20"/>
                <w:lang w:eastAsia="it-IT"/>
              </w:rPr>
              <w:t>14,295</w:t>
            </w:r>
          </w:p>
        </w:tc>
        <w:tc>
          <w:tcPr>
            <w:tcW w:w="1805"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Calibri"/>
                <w:color w:val="000000"/>
                <w:sz w:val="20"/>
                <w:szCs w:val="20"/>
                <w:lang w:eastAsia="it-IT"/>
              </w:rPr>
            </w:pPr>
            <w:r w:rsidRPr="00CF36FD">
              <w:rPr>
                <w:rFonts w:asciiTheme="majorHAnsi" w:eastAsia="Times New Roman" w:hAnsiTheme="majorHAnsi" w:cs="Calibri"/>
                <w:color w:val="000000"/>
                <w:sz w:val="20"/>
                <w:szCs w:val="20"/>
                <w:lang w:eastAsia="it-IT"/>
              </w:rPr>
              <w:t>911</w:t>
            </w:r>
          </w:p>
        </w:tc>
        <w:tc>
          <w:tcPr>
            <w:tcW w:w="2488"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Calibri"/>
                <w:color w:val="000000"/>
                <w:sz w:val="20"/>
                <w:szCs w:val="20"/>
                <w:lang w:eastAsia="it-IT"/>
              </w:rPr>
            </w:pPr>
            <w:r w:rsidRPr="00CF36FD">
              <w:rPr>
                <w:rFonts w:asciiTheme="majorHAnsi" w:eastAsia="Times New Roman" w:hAnsiTheme="majorHAnsi" w:cs="Calibri"/>
                <w:color w:val="000000"/>
                <w:sz w:val="20"/>
                <w:szCs w:val="20"/>
                <w:lang w:eastAsia="it-IT"/>
              </w:rPr>
              <w:t>4,436</w:t>
            </w:r>
          </w:p>
        </w:tc>
        <w:tc>
          <w:tcPr>
            <w:tcW w:w="2140"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Calibri"/>
                <w:color w:val="000000"/>
                <w:sz w:val="20"/>
                <w:szCs w:val="20"/>
                <w:lang w:eastAsia="it-IT"/>
              </w:rPr>
            </w:pPr>
            <w:r w:rsidRPr="00CF36FD">
              <w:rPr>
                <w:rFonts w:asciiTheme="majorHAnsi" w:eastAsia="Times New Roman" w:hAnsiTheme="majorHAnsi" w:cs="Calibri"/>
                <w:color w:val="000000"/>
                <w:sz w:val="20"/>
                <w:szCs w:val="20"/>
                <w:lang w:eastAsia="it-IT"/>
              </w:rPr>
              <w:t>19,642</w:t>
            </w:r>
          </w:p>
        </w:tc>
      </w:tr>
      <w:tr w:rsidR="00D66F0A" w:rsidRPr="00CF36FD" w:rsidTr="00CF36FD">
        <w:trPr>
          <w:trHeight w:val="315"/>
        </w:trPr>
        <w:tc>
          <w:tcPr>
            <w:tcW w:w="1560" w:type="dxa"/>
            <w:tcBorders>
              <w:top w:val="dashed" w:sz="8" w:space="0" w:color="1F497D"/>
              <w:left w:val="nil"/>
              <w:bottom w:val="dashed" w:sz="8" w:space="0" w:color="1F497D"/>
              <w:right w:val="nil"/>
            </w:tcBorders>
            <w:shd w:val="clear" w:color="auto" w:fill="auto"/>
            <w:vAlign w:val="center"/>
            <w:hideMark/>
          </w:tcPr>
          <w:p w:rsidR="00D66F0A" w:rsidRPr="00CF36FD" w:rsidRDefault="00D66F0A" w:rsidP="00D66F0A">
            <w:pPr>
              <w:jc w:val="left"/>
              <w:rPr>
                <w:rFonts w:asciiTheme="majorHAnsi" w:eastAsia="Times New Roman" w:hAnsiTheme="majorHAnsi" w:cs="Calibri"/>
                <w:b/>
                <w:bCs/>
                <w:color w:val="1F497D"/>
                <w:sz w:val="20"/>
                <w:szCs w:val="20"/>
                <w:lang w:eastAsia="it-IT"/>
              </w:rPr>
            </w:pPr>
            <w:r w:rsidRPr="00CF36FD">
              <w:rPr>
                <w:rFonts w:asciiTheme="majorHAnsi" w:eastAsia="Times New Roman" w:hAnsiTheme="majorHAnsi" w:cs="Calibri"/>
                <w:b/>
                <w:bCs/>
                <w:color w:val="1F497D"/>
                <w:sz w:val="20"/>
                <w:szCs w:val="20"/>
                <w:lang w:eastAsia="it-IT"/>
              </w:rPr>
              <w:t>Southern Italy</w:t>
            </w:r>
          </w:p>
        </w:tc>
        <w:tc>
          <w:tcPr>
            <w:tcW w:w="1660" w:type="dxa"/>
            <w:tcBorders>
              <w:top w:val="dashed" w:sz="8" w:space="0" w:color="1F497D"/>
              <w:left w:val="nil"/>
              <w:bottom w:val="dashed" w:sz="8" w:space="0" w:color="1F497D"/>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Calibri"/>
                <w:b/>
                <w:bCs/>
                <w:color w:val="1F497D"/>
                <w:sz w:val="20"/>
                <w:szCs w:val="20"/>
                <w:lang w:eastAsia="it-IT"/>
              </w:rPr>
            </w:pPr>
            <w:r w:rsidRPr="00CF36FD">
              <w:rPr>
                <w:rFonts w:asciiTheme="majorHAnsi" w:eastAsia="Times New Roman" w:hAnsiTheme="majorHAnsi" w:cs="Calibri"/>
                <w:b/>
                <w:bCs/>
                <w:color w:val="1F497D"/>
                <w:sz w:val="20"/>
                <w:szCs w:val="20"/>
                <w:lang w:eastAsia="it-IT"/>
              </w:rPr>
              <w:t>58,960</w:t>
            </w:r>
          </w:p>
        </w:tc>
        <w:tc>
          <w:tcPr>
            <w:tcW w:w="1805" w:type="dxa"/>
            <w:tcBorders>
              <w:top w:val="dashed" w:sz="8" w:space="0" w:color="1F497D"/>
              <w:left w:val="nil"/>
              <w:bottom w:val="dashed" w:sz="8" w:space="0" w:color="1F497D"/>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Calibri"/>
                <w:b/>
                <w:bCs/>
                <w:color w:val="1F497D"/>
                <w:sz w:val="20"/>
                <w:szCs w:val="20"/>
                <w:lang w:eastAsia="it-IT"/>
              </w:rPr>
            </w:pPr>
            <w:r w:rsidRPr="00CF36FD">
              <w:rPr>
                <w:rFonts w:asciiTheme="majorHAnsi" w:eastAsia="Times New Roman" w:hAnsiTheme="majorHAnsi" w:cs="Calibri"/>
                <w:b/>
                <w:bCs/>
                <w:color w:val="1F497D"/>
                <w:sz w:val="20"/>
                <w:szCs w:val="20"/>
                <w:lang w:eastAsia="it-IT"/>
              </w:rPr>
              <w:t>4,433</w:t>
            </w:r>
          </w:p>
        </w:tc>
        <w:tc>
          <w:tcPr>
            <w:tcW w:w="2488" w:type="dxa"/>
            <w:tcBorders>
              <w:top w:val="dashed" w:sz="8" w:space="0" w:color="1F497D"/>
              <w:left w:val="nil"/>
              <w:bottom w:val="dashed" w:sz="8" w:space="0" w:color="1F497D"/>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Calibri"/>
                <w:b/>
                <w:bCs/>
                <w:color w:val="1F497D"/>
                <w:sz w:val="20"/>
                <w:szCs w:val="20"/>
                <w:lang w:eastAsia="it-IT"/>
              </w:rPr>
            </w:pPr>
            <w:r w:rsidRPr="00CF36FD">
              <w:rPr>
                <w:rFonts w:asciiTheme="majorHAnsi" w:eastAsia="Times New Roman" w:hAnsiTheme="majorHAnsi" w:cs="Calibri"/>
                <w:b/>
                <w:bCs/>
                <w:color w:val="1F497D"/>
                <w:sz w:val="20"/>
                <w:szCs w:val="20"/>
                <w:lang w:eastAsia="it-IT"/>
              </w:rPr>
              <w:t>19,258</w:t>
            </w:r>
          </w:p>
        </w:tc>
        <w:tc>
          <w:tcPr>
            <w:tcW w:w="2140" w:type="dxa"/>
            <w:tcBorders>
              <w:top w:val="dashed" w:sz="8" w:space="0" w:color="1F497D"/>
              <w:left w:val="nil"/>
              <w:bottom w:val="dashed" w:sz="8" w:space="0" w:color="1F497D"/>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Calibri"/>
                <w:b/>
                <w:bCs/>
                <w:color w:val="1F497D"/>
                <w:sz w:val="20"/>
                <w:szCs w:val="20"/>
                <w:lang w:eastAsia="it-IT"/>
              </w:rPr>
            </w:pPr>
            <w:r w:rsidRPr="00CF36FD">
              <w:rPr>
                <w:rFonts w:asciiTheme="majorHAnsi" w:eastAsia="Times New Roman" w:hAnsiTheme="majorHAnsi" w:cs="Calibri"/>
                <w:b/>
                <w:bCs/>
                <w:color w:val="1F497D"/>
                <w:sz w:val="20"/>
                <w:szCs w:val="20"/>
                <w:lang w:eastAsia="it-IT"/>
              </w:rPr>
              <w:t>82,651</w:t>
            </w:r>
          </w:p>
        </w:tc>
      </w:tr>
    </w:tbl>
    <w:p w:rsidR="00D4748D" w:rsidRPr="00D4748D" w:rsidRDefault="00D4748D" w:rsidP="00D4748D">
      <w:pPr>
        <w:spacing w:after="120"/>
        <w:rPr>
          <w:rFonts w:asciiTheme="majorHAnsi" w:hAnsiTheme="majorHAnsi"/>
          <w:sz w:val="18"/>
          <w:szCs w:val="18"/>
          <w:lang w:val="en-US"/>
        </w:rPr>
      </w:pPr>
      <w:r>
        <w:rPr>
          <w:rFonts w:asciiTheme="majorHAnsi" w:hAnsiTheme="majorHAnsi"/>
          <w:sz w:val="18"/>
          <w:szCs w:val="18"/>
          <w:lang w:val="en-US"/>
        </w:rPr>
        <w:t>Source</w:t>
      </w:r>
      <w:r w:rsidRPr="00D4748D">
        <w:rPr>
          <w:rFonts w:asciiTheme="majorHAnsi" w:hAnsiTheme="majorHAnsi"/>
          <w:sz w:val="18"/>
          <w:szCs w:val="18"/>
          <w:lang w:val="en-US"/>
        </w:rPr>
        <w:t xml:space="preserve">: Confindustria and SRM elaborations on </w:t>
      </w:r>
      <w:r>
        <w:rPr>
          <w:rFonts w:asciiTheme="majorHAnsi" w:hAnsiTheme="majorHAnsi"/>
          <w:sz w:val="18"/>
          <w:szCs w:val="18"/>
          <w:lang w:val="en-US"/>
        </w:rPr>
        <w:t>INPS</w:t>
      </w:r>
      <w:r w:rsidRPr="00D4748D">
        <w:rPr>
          <w:rFonts w:asciiTheme="majorHAnsi" w:hAnsiTheme="majorHAnsi"/>
          <w:sz w:val="18"/>
          <w:szCs w:val="18"/>
          <w:lang w:val="en-US"/>
        </w:rPr>
        <w:t xml:space="preserve"> data</w:t>
      </w:r>
    </w:p>
    <w:p w:rsidR="00A17EC7" w:rsidRPr="00B369E8" w:rsidRDefault="00A17EC7" w:rsidP="007F4FFE">
      <w:pPr>
        <w:shd w:val="clear" w:color="auto" w:fill="FFFFFF"/>
        <w:spacing w:after="120"/>
        <w:rPr>
          <w:rFonts w:asciiTheme="majorHAnsi" w:hAnsiTheme="majorHAnsi"/>
          <w:b/>
          <w:sz w:val="8"/>
          <w:lang w:val="en-US"/>
        </w:rPr>
      </w:pPr>
    </w:p>
    <w:p w:rsidR="00260E29" w:rsidRPr="00260E29" w:rsidRDefault="00B369E8" w:rsidP="007F4FFE">
      <w:pPr>
        <w:shd w:val="clear" w:color="auto" w:fill="FFFFFF"/>
        <w:spacing w:after="120"/>
        <w:rPr>
          <w:rFonts w:asciiTheme="majorHAnsi" w:hAnsiTheme="majorHAnsi"/>
          <w:b/>
        </w:rPr>
      </w:pPr>
      <w:r w:rsidRPr="00B369E8">
        <w:rPr>
          <w:rFonts w:asciiTheme="majorHAnsi" w:hAnsiTheme="majorHAnsi"/>
          <w:b/>
          <w:lang w:val="en-US"/>
        </w:rPr>
        <w:t xml:space="preserve">Export of Southern provinces (III trimester 2016 – III trimester 2017 data). </w:t>
      </w:r>
      <w:proofErr w:type="spellStart"/>
      <w:r w:rsidRPr="00B369E8">
        <w:rPr>
          <w:rFonts w:asciiTheme="majorHAnsi" w:hAnsiTheme="majorHAnsi"/>
          <w:b/>
        </w:rPr>
        <w:t>Values</w:t>
      </w:r>
      <w:proofErr w:type="spellEnd"/>
      <w:r w:rsidRPr="00B369E8">
        <w:rPr>
          <w:rFonts w:asciiTheme="majorHAnsi" w:hAnsiTheme="majorHAnsi"/>
          <w:b/>
        </w:rPr>
        <w:t xml:space="preserve"> in </w:t>
      </w:r>
      <w:proofErr w:type="spellStart"/>
      <w:r w:rsidRPr="00B369E8">
        <w:rPr>
          <w:rFonts w:asciiTheme="majorHAnsi" w:hAnsiTheme="majorHAnsi"/>
          <w:b/>
        </w:rPr>
        <w:t>millions</w:t>
      </w:r>
      <w:proofErr w:type="spellEnd"/>
      <w:r w:rsidRPr="00B369E8">
        <w:rPr>
          <w:rFonts w:asciiTheme="majorHAnsi" w:hAnsiTheme="majorHAnsi"/>
          <w:b/>
        </w:rPr>
        <w:t xml:space="preserve"> of euro and in </w:t>
      </w:r>
      <w:proofErr w:type="spellStart"/>
      <w:r w:rsidRPr="00B369E8">
        <w:rPr>
          <w:rFonts w:asciiTheme="majorHAnsi" w:hAnsiTheme="majorHAnsi"/>
          <w:b/>
        </w:rPr>
        <w:t>percentage</w:t>
      </w:r>
      <w:proofErr w:type="spellEnd"/>
    </w:p>
    <w:tbl>
      <w:tblPr>
        <w:tblW w:w="9396" w:type="dxa"/>
        <w:tblInd w:w="70" w:type="dxa"/>
        <w:tblCellMar>
          <w:left w:w="70" w:type="dxa"/>
          <w:right w:w="70" w:type="dxa"/>
        </w:tblCellMar>
        <w:tblLook w:val="04A0" w:firstRow="1" w:lastRow="0" w:firstColumn="1" w:lastColumn="0" w:noHBand="0" w:noVBand="1"/>
      </w:tblPr>
      <w:tblGrid>
        <w:gridCol w:w="1230"/>
        <w:gridCol w:w="959"/>
        <w:gridCol w:w="959"/>
        <w:gridCol w:w="1105"/>
        <w:gridCol w:w="256"/>
        <w:gridCol w:w="1587"/>
        <w:gridCol w:w="1062"/>
        <w:gridCol w:w="1062"/>
        <w:gridCol w:w="1176"/>
      </w:tblGrid>
      <w:tr w:rsidR="00D66F0A" w:rsidRPr="00CF36FD" w:rsidTr="00CF36FD">
        <w:trPr>
          <w:trHeight w:val="285"/>
        </w:trPr>
        <w:tc>
          <w:tcPr>
            <w:tcW w:w="1230" w:type="dxa"/>
            <w:vMerge w:val="restart"/>
            <w:tcBorders>
              <w:top w:val="nil"/>
              <w:left w:val="nil"/>
              <w:bottom w:val="nil"/>
              <w:right w:val="nil"/>
            </w:tcBorders>
            <w:shd w:val="clear" w:color="000000" w:fill="1F497D"/>
            <w:vAlign w:val="center"/>
            <w:hideMark/>
          </w:tcPr>
          <w:p w:rsidR="00D66F0A" w:rsidRPr="00CF36FD" w:rsidRDefault="00D66F0A" w:rsidP="00D66F0A">
            <w:pPr>
              <w:jc w:val="center"/>
              <w:rPr>
                <w:rFonts w:asciiTheme="majorHAnsi" w:eastAsia="Times New Roman" w:hAnsiTheme="majorHAnsi" w:cstheme="minorHAnsi"/>
                <w:color w:val="FFFFFF"/>
                <w:sz w:val="18"/>
                <w:szCs w:val="18"/>
                <w:lang w:eastAsia="it-IT"/>
              </w:rPr>
            </w:pPr>
            <w:r w:rsidRPr="00CF36FD">
              <w:rPr>
                <w:rFonts w:asciiTheme="majorHAnsi" w:eastAsia="Times New Roman" w:hAnsiTheme="majorHAnsi" w:cstheme="minorHAnsi"/>
                <w:color w:val="FFFFFF"/>
                <w:sz w:val="18"/>
                <w:szCs w:val="18"/>
                <w:lang w:eastAsia="it-IT"/>
              </w:rPr>
              <w:t> </w:t>
            </w:r>
          </w:p>
        </w:tc>
        <w:tc>
          <w:tcPr>
            <w:tcW w:w="959" w:type="dxa"/>
            <w:tcBorders>
              <w:top w:val="nil"/>
              <w:left w:val="nil"/>
              <w:bottom w:val="nil"/>
              <w:right w:val="nil"/>
            </w:tcBorders>
            <w:shd w:val="clear" w:color="000000" w:fill="1F497D"/>
            <w:vAlign w:val="center"/>
            <w:hideMark/>
          </w:tcPr>
          <w:p w:rsidR="00D66F0A" w:rsidRPr="00CF36FD" w:rsidRDefault="00D66F0A" w:rsidP="00D66F0A">
            <w:pPr>
              <w:jc w:val="center"/>
              <w:rPr>
                <w:rFonts w:asciiTheme="majorHAnsi" w:eastAsia="Times New Roman" w:hAnsiTheme="majorHAnsi" w:cstheme="minorHAnsi"/>
                <w:color w:val="FFFFFF"/>
                <w:sz w:val="18"/>
                <w:szCs w:val="18"/>
                <w:lang w:eastAsia="it-IT"/>
              </w:rPr>
            </w:pPr>
            <w:r w:rsidRPr="00CF36FD">
              <w:rPr>
                <w:rFonts w:asciiTheme="majorHAnsi" w:eastAsia="Times New Roman" w:hAnsiTheme="majorHAnsi" w:cstheme="minorHAnsi"/>
                <w:color w:val="FFFFFF"/>
                <w:sz w:val="18"/>
                <w:szCs w:val="18"/>
                <w:lang w:eastAsia="it-IT"/>
              </w:rPr>
              <w:t>III Q</w:t>
            </w:r>
          </w:p>
        </w:tc>
        <w:tc>
          <w:tcPr>
            <w:tcW w:w="959" w:type="dxa"/>
            <w:tcBorders>
              <w:top w:val="nil"/>
              <w:left w:val="nil"/>
              <w:bottom w:val="nil"/>
              <w:right w:val="nil"/>
            </w:tcBorders>
            <w:shd w:val="clear" w:color="000000" w:fill="1F497D"/>
            <w:vAlign w:val="center"/>
            <w:hideMark/>
          </w:tcPr>
          <w:p w:rsidR="00D66F0A" w:rsidRPr="00CF36FD" w:rsidRDefault="00D66F0A" w:rsidP="00D66F0A">
            <w:pPr>
              <w:jc w:val="center"/>
              <w:rPr>
                <w:rFonts w:asciiTheme="majorHAnsi" w:eastAsia="Times New Roman" w:hAnsiTheme="majorHAnsi" w:cstheme="minorHAnsi"/>
                <w:color w:val="FFFFFF"/>
                <w:sz w:val="18"/>
                <w:szCs w:val="18"/>
                <w:lang w:eastAsia="it-IT"/>
              </w:rPr>
            </w:pPr>
            <w:r w:rsidRPr="00CF36FD">
              <w:rPr>
                <w:rFonts w:asciiTheme="majorHAnsi" w:eastAsia="Times New Roman" w:hAnsiTheme="majorHAnsi" w:cstheme="minorHAnsi"/>
                <w:color w:val="FFFFFF"/>
                <w:sz w:val="18"/>
                <w:szCs w:val="18"/>
                <w:lang w:eastAsia="it-IT"/>
              </w:rPr>
              <w:t xml:space="preserve">III Q </w:t>
            </w:r>
          </w:p>
        </w:tc>
        <w:tc>
          <w:tcPr>
            <w:tcW w:w="1105" w:type="dxa"/>
            <w:vMerge w:val="restart"/>
            <w:tcBorders>
              <w:top w:val="nil"/>
              <w:left w:val="nil"/>
              <w:bottom w:val="nil"/>
              <w:right w:val="nil"/>
            </w:tcBorders>
            <w:shd w:val="clear" w:color="000000" w:fill="1F497D"/>
            <w:vAlign w:val="center"/>
            <w:hideMark/>
          </w:tcPr>
          <w:p w:rsidR="00D66F0A" w:rsidRPr="00CF36FD" w:rsidRDefault="00D66F0A" w:rsidP="00D66F0A">
            <w:pPr>
              <w:jc w:val="center"/>
              <w:rPr>
                <w:rFonts w:asciiTheme="majorHAnsi" w:eastAsia="Times New Roman" w:hAnsiTheme="majorHAnsi" w:cstheme="minorHAnsi"/>
                <w:color w:val="FFFFFF"/>
                <w:sz w:val="18"/>
                <w:szCs w:val="18"/>
                <w:lang w:eastAsia="it-IT"/>
              </w:rPr>
            </w:pPr>
            <w:proofErr w:type="spellStart"/>
            <w:r w:rsidRPr="00CF36FD">
              <w:rPr>
                <w:rFonts w:asciiTheme="majorHAnsi" w:eastAsia="Times New Roman" w:hAnsiTheme="majorHAnsi" w:cstheme="minorHAnsi"/>
                <w:color w:val="FFFFFF"/>
                <w:sz w:val="18"/>
                <w:szCs w:val="18"/>
                <w:lang w:eastAsia="it-IT"/>
              </w:rPr>
              <w:t>Var</w:t>
            </w:r>
            <w:proofErr w:type="spellEnd"/>
            <w:r w:rsidRPr="00CF36FD">
              <w:rPr>
                <w:rFonts w:asciiTheme="majorHAnsi" w:eastAsia="Times New Roman" w:hAnsiTheme="majorHAnsi" w:cstheme="minorHAnsi"/>
                <w:color w:val="FFFFFF"/>
                <w:sz w:val="18"/>
                <w:szCs w:val="18"/>
                <w:lang w:eastAsia="it-IT"/>
              </w:rPr>
              <w:t>. %</w:t>
            </w:r>
            <w:r w:rsidRPr="00CF36FD">
              <w:rPr>
                <w:rFonts w:asciiTheme="majorHAnsi" w:eastAsia="Times New Roman" w:hAnsiTheme="majorHAnsi" w:cstheme="minorHAnsi"/>
                <w:color w:val="FFFFFF"/>
                <w:sz w:val="18"/>
                <w:szCs w:val="18"/>
                <w:lang w:eastAsia="it-IT"/>
              </w:rPr>
              <w:br/>
              <w:t>2016-2017</w:t>
            </w:r>
          </w:p>
        </w:tc>
        <w:tc>
          <w:tcPr>
            <w:tcW w:w="256" w:type="dxa"/>
            <w:tcBorders>
              <w:top w:val="nil"/>
              <w:left w:val="nil"/>
              <w:bottom w:val="nil"/>
              <w:right w:val="nil"/>
            </w:tcBorders>
            <w:shd w:val="clear" w:color="000000" w:fill="FFFFFF"/>
            <w:noWrap/>
            <w:vAlign w:val="center"/>
            <w:hideMark/>
          </w:tcPr>
          <w:p w:rsidR="00D66F0A" w:rsidRPr="00CF36FD" w:rsidRDefault="00D66F0A" w:rsidP="00D66F0A">
            <w:pPr>
              <w:jc w:val="center"/>
              <w:rPr>
                <w:rFonts w:asciiTheme="majorHAnsi" w:eastAsia="Times New Roman" w:hAnsiTheme="majorHAnsi" w:cstheme="minorHAnsi"/>
                <w:color w:val="FFFFFF"/>
                <w:sz w:val="18"/>
                <w:szCs w:val="18"/>
                <w:lang w:eastAsia="it-IT"/>
              </w:rPr>
            </w:pPr>
            <w:r w:rsidRPr="00CF36FD">
              <w:rPr>
                <w:rFonts w:asciiTheme="majorHAnsi" w:eastAsia="Times New Roman" w:hAnsiTheme="majorHAnsi" w:cstheme="minorHAnsi"/>
                <w:color w:val="FFFFFF"/>
                <w:sz w:val="18"/>
                <w:szCs w:val="18"/>
                <w:lang w:eastAsia="it-IT"/>
              </w:rPr>
              <w:t> </w:t>
            </w:r>
          </w:p>
        </w:tc>
        <w:tc>
          <w:tcPr>
            <w:tcW w:w="1587" w:type="dxa"/>
            <w:vMerge w:val="restart"/>
            <w:tcBorders>
              <w:top w:val="nil"/>
              <w:left w:val="nil"/>
              <w:bottom w:val="nil"/>
              <w:right w:val="nil"/>
            </w:tcBorders>
            <w:shd w:val="clear" w:color="000000" w:fill="1F497D"/>
            <w:vAlign w:val="center"/>
            <w:hideMark/>
          </w:tcPr>
          <w:p w:rsidR="00D66F0A" w:rsidRPr="00CF36FD" w:rsidRDefault="00D66F0A" w:rsidP="00D66F0A">
            <w:pPr>
              <w:jc w:val="center"/>
              <w:rPr>
                <w:rFonts w:asciiTheme="majorHAnsi" w:eastAsia="Times New Roman" w:hAnsiTheme="majorHAnsi" w:cstheme="minorHAnsi"/>
                <w:color w:val="FFFFFF"/>
                <w:sz w:val="18"/>
                <w:szCs w:val="18"/>
                <w:lang w:eastAsia="it-IT"/>
              </w:rPr>
            </w:pPr>
            <w:r w:rsidRPr="00CF36FD">
              <w:rPr>
                <w:rFonts w:asciiTheme="majorHAnsi" w:eastAsia="Times New Roman" w:hAnsiTheme="majorHAnsi" w:cstheme="minorHAnsi"/>
                <w:color w:val="FFFFFF"/>
                <w:sz w:val="18"/>
                <w:szCs w:val="18"/>
                <w:lang w:eastAsia="it-IT"/>
              </w:rPr>
              <w:t> </w:t>
            </w:r>
          </w:p>
        </w:tc>
        <w:tc>
          <w:tcPr>
            <w:tcW w:w="1062" w:type="dxa"/>
            <w:tcBorders>
              <w:top w:val="nil"/>
              <w:left w:val="nil"/>
              <w:bottom w:val="nil"/>
              <w:right w:val="nil"/>
            </w:tcBorders>
            <w:shd w:val="clear" w:color="000000" w:fill="1F497D"/>
            <w:vAlign w:val="center"/>
            <w:hideMark/>
          </w:tcPr>
          <w:p w:rsidR="00D66F0A" w:rsidRPr="00CF36FD" w:rsidRDefault="00D66F0A" w:rsidP="00D66F0A">
            <w:pPr>
              <w:jc w:val="center"/>
              <w:rPr>
                <w:rFonts w:asciiTheme="majorHAnsi" w:eastAsia="Times New Roman" w:hAnsiTheme="majorHAnsi" w:cstheme="minorHAnsi"/>
                <w:color w:val="FFFFFF"/>
                <w:sz w:val="18"/>
                <w:szCs w:val="18"/>
                <w:lang w:eastAsia="it-IT"/>
              </w:rPr>
            </w:pPr>
            <w:r w:rsidRPr="00CF36FD">
              <w:rPr>
                <w:rFonts w:asciiTheme="majorHAnsi" w:eastAsia="Times New Roman" w:hAnsiTheme="majorHAnsi" w:cstheme="minorHAnsi"/>
                <w:color w:val="FFFFFF"/>
                <w:sz w:val="18"/>
                <w:szCs w:val="18"/>
                <w:lang w:eastAsia="it-IT"/>
              </w:rPr>
              <w:t>III Q</w:t>
            </w:r>
          </w:p>
        </w:tc>
        <w:tc>
          <w:tcPr>
            <w:tcW w:w="1062" w:type="dxa"/>
            <w:tcBorders>
              <w:top w:val="nil"/>
              <w:left w:val="nil"/>
              <w:bottom w:val="nil"/>
              <w:right w:val="nil"/>
            </w:tcBorders>
            <w:shd w:val="clear" w:color="000000" w:fill="1F497D"/>
            <w:vAlign w:val="center"/>
            <w:hideMark/>
          </w:tcPr>
          <w:p w:rsidR="00D66F0A" w:rsidRPr="00CF36FD" w:rsidRDefault="00D66F0A" w:rsidP="00D66F0A">
            <w:pPr>
              <w:jc w:val="center"/>
              <w:rPr>
                <w:rFonts w:asciiTheme="majorHAnsi" w:eastAsia="Times New Roman" w:hAnsiTheme="majorHAnsi" w:cstheme="minorHAnsi"/>
                <w:color w:val="FFFFFF"/>
                <w:sz w:val="18"/>
                <w:szCs w:val="18"/>
                <w:lang w:eastAsia="it-IT"/>
              </w:rPr>
            </w:pPr>
            <w:r w:rsidRPr="00CF36FD">
              <w:rPr>
                <w:rFonts w:asciiTheme="majorHAnsi" w:eastAsia="Times New Roman" w:hAnsiTheme="majorHAnsi" w:cstheme="minorHAnsi"/>
                <w:color w:val="FFFFFF"/>
                <w:sz w:val="18"/>
                <w:szCs w:val="18"/>
                <w:lang w:eastAsia="it-IT"/>
              </w:rPr>
              <w:t xml:space="preserve">III Q </w:t>
            </w:r>
          </w:p>
        </w:tc>
        <w:tc>
          <w:tcPr>
            <w:tcW w:w="1176" w:type="dxa"/>
            <w:vMerge w:val="restart"/>
            <w:tcBorders>
              <w:top w:val="nil"/>
              <w:left w:val="nil"/>
              <w:bottom w:val="nil"/>
              <w:right w:val="nil"/>
            </w:tcBorders>
            <w:shd w:val="clear" w:color="000000" w:fill="1F497D"/>
            <w:vAlign w:val="center"/>
            <w:hideMark/>
          </w:tcPr>
          <w:p w:rsidR="00D66F0A" w:rsidRPr="00CF36FD" w:rsidRDefault="00D66F0A" w:rsidP="00D66F0A">
            <w:pPr>
              <w:jc w:val="center"/>
              <w:rPr>
                <w:rFonts w:asciiTheme="majorHAnsi" w:eastAsia="Times New Roman" w:hAnsiTheme="majorHAnsi" w:cstheme="minorHAnsi"/>
                <w:color w:val="FFFFFF"/>
                <w:sz w:val="18"/>
                <w:szCs w:val="18"/>
                <w:lang w:eastAsia="it-IT"/>
              </w:rPr>
            </w:pPr>
            <w:proofErr w:type="spellStart"/>
            <w:r w:rsidRPr="00CF36FD">
              <w:rPr>
                <w:rFonts w:asciiTheme="majorHAnsi" w:eastAsia="Times New Roman" w:hAnsiTheme="majorHAnsi" w:cstheme="minorHAnsi"/>
                <w:color w:val="FFFFFF"/>
                <w:sz w:val="18"/>
                <w:szCs w:val="18"/>
                <w:lang w:eastAsia="it-IT"/>
              </w:rPr>
              <w:t>Var</w:t>
            </w:r>
            <w:proofErr w:type="spellEnd"/>
            <w:r w:rsidRPr="00CF36FD">
              <w:rPr>
                <w:rFonts w:asciiTheme="majorHAnsi" w:eastAsia="Times New Roman" w:hAnsiTheme="majorHAnsi" w:cstheme="minorHAnsi"/>
                <w:color w:val="FFFFFF"/>
                <w:sz w:val="18"/>
                <w:szCs w:val="18"/>
                <w:lang w:eastAsia="it-IT"/>
              </w:rPr>
              <w:t xml:space="preserve">. % </w:t>
            </w:r>
            <w:r w:rsidRPr="00CF36FD">
              <w:rPr>
                <w:rFonts w:asciiTheme="majorHAnsi" w:eastAsia="Times New Roman" w:hAnsiTheme="majorHAnsi" w:cstheme="minorHAnsi"/>
                <w:color w:val="FFFFFF"/>
                <w:sz w:val="18"/>
                <w:szCs w:val="18"/>
                <w:lang w:eastAsia="it-IT"/>
              </w:rPr>
              <w:br/>
              <w:t>2016-2017</w:t>
            </w:r>
          </w:p>
        </w:tc>
      </w:tr>
      <w:tr w:rsidR="00D66F0A" w:rsidRPr="00CF36FD" w:rsidTr="00CF36FD">
        <w:trPr>
          <w:trHeight w:val="315"/>
        </w:trPr>
        <w:tc>
          <w:tcPr>
            <w:tcW w:w="1230" w:type="dxa"/>
            <w:vMerge/>
            <w:tcBorders>
              <w:top w:val="nil"/>
              <w:left w:val="nil"/>
              <w:bottom w:val="nil"/>
              <w:right w:val="nil"/>
            </w:tcBorders>
            <w:vAlign w:val="center"/>
            <w:hideMark/>
          </w:tcPr>
          <w:p w:rsidR="00D66F0A" w:rsidRPr="00CF36FD" w:rsidRDefault="00D66F0A" w:rsidP="00D66F0A">
            <w:pPr>
              <w:jc w:val="left"/>
              <w:rPr>
                <w:rFonts w:asciiTheme="majorHAnsi" w:eastAsia="Times New Roman" w:hAnsiTheme="majorHAnsi" w:cstheme="minorHAnsi"/>
                <w:color w:val="FFFFFF"/>
                <w:sz w:val="18"/>
                <w:szCs w:val="18"/>
                <w:lang w:eastAsia="it-IT"/>
              </w:rPr>
            </w:pPr>
          </w:p>
        </w:tc>
        <w:tc>
          <w:tcPr>
            <w:tcW w:w="959" w:type="dxa"/>
            <w:tcBorders>
              <w:top w:val="nil"/>
              <w:left w:val="nil"/>
              <w:bottom w:val="nil"/>
              <w:right w:val="nil"/>
            </w:tcBorders>
            <w:shd w:val="clear" w:color="000000" w:fill="1F497D"/>
            <w:noWrap/>
            <w:vAlign w:val="center"/>
            <w:hideMark/>
          </w:tcPr>
          <w:p w:rsidR="00D66F0A" w:rsidRPr="00CF36FD" w:rsidRDefault="00D66F0A" w:rsidP="00D66F0A">
            <w:pPr>
              <w:jc w:val="center"/>
              <w:rPr>
                <w:rFonts w:asciiTheme="majorHAnsi" w:eastAsia="Times New Roman" w:hAnsiTheme="majorHAnsi" w:cstheme="minorHAnsi"/>
                <w:color w:val="FFFFFF"/>
                <w:sz w:val="18"/>
                <w:szCs w:val="18"/>
                <w:lang w:eastAsia="it-IT"/>
              </w:rPr>
            </w:pPr>
            <w:r w:rsidRPr="00CF36FD">
              <w:rPr>
                <w:rFonts w:asciiTheme="majorHAnsi" w:eastAsia="Times New Roman" w:hAnsiTheme="majorHAnsi" w:cstheme="minorHAnsi"/>
                <w:color w:val="FFFFFF"/>
                <w:sz w:val="18"/>
                <w:szCs w:val="18"/>
                <w:lang w:eastAsia="it-IT"/>
              </w:rPr>
              <w:t>2016</w:t>
            </w:r>
          </w:p>
        </w:tc>
        <w:tc>
          <w:tcPr>
            <w:tcW w:w="959" w:type="dxa"/>
            <w:tcBorders>
              <w:top w:val="nil"/>
              <w:left w:val="nil"/>
              <w:bottom w:val="nil"/>
              <w:right w:val="nil"/>
            </w:tcBorders>
            <w:shd w:val="clear" w:color="000000" w:fill="1F497D"/>
            <w:noWrap/>
            <w:vAlign w:val="center"/>
            <w:hideMark/>
          </w:tcPr>
          <w:p w:rsidR="00D66F0A" w:rsidRPr="00CF36FD" w:rsidRDefault="00D66F0A" w:rsidP="00D66F0A">
            <w:pPr>
              <w:jc w:val="center"/>
              <w:rPr>
                <w:rFonts w:asciiTheme="majorHAnsi" w:eastAsia="Times New Roman" w:hAnsiTheme="majorHAnsi" w:cstheme="minorHAnsi"/>
                <w:color w:val="FFFFFF"/>
                <w:sz w:val="18"/>
                <w:szCs w:val="18"/>
                <w:lang w:eastAsia="it-IT"/>
              </w:rPr>
            </w:pPr>
            <w:r w:rsidRPr="00CF36FD">
              <w:rPr>
                <w:rFonts w:asciiTheme="majorHAnsi" w:eastAsia="Times New Roman" w:hAnsiTheme="majorHAnsi" w:cstheme="minorHAnsi"/>
                <w:color w:val="FFFFFF"/>
                <w:sz w:val="18"/>
                <w:szCs w:val="18"/>
                <w:lang w:eastAsia="it-IT"/>
              </w:rPr>
              <w:t>2017</w:t>
            </w:r>
          </w:p>
        </w:tc>
        <w:tc>
          <w:tcPr>
            <w:tcW w:w="1105" w:type="dxa"/>
            <w:vMerge/>
            <w:tcBorders>
              <w:top w:val="nil"/>
              <w:left w:val="nil"/>
              <w:bottom w:val="nil"/>
              <w:right w:val="nil"/>
            </w:tcBorders>
            <w:vAlign w:val="center"/>
            <w:hideMark/>
          </w:tcPr>
          <w:p w:rsidR="00D66F0A" w:rsidRPr="00CF36FD" w:rsidRDefault="00D66F0A" w:rsidP="00D66F0A">
            <w:pPr>
              <w:jc w:val="left"/>
              <w:rPr>
                <w:rFonts w:asciiTheme="majorHAnsi" w:eastAsia="Times New Roman" w:hAnsiTheme="majorHAnsi" w:cstheme="minorHAnsi"/>
                <w:color w:val="FFFFFF"/>
                <w:sz w:val="18"/>
                <w:szCs w:val="18"/>
                <w:lang w:eastAsia="it-IT"/>
              </w:rPr>
            </w:pPr>
          </w:p>
        </w:tc>
        <w:tc>
          <w:tcPr>
            <w:tcW w:w="256" w:type="dxa"/>
            <w:tcBorders>
              <w:top w:val="nil"/>
              <w:left w:val="nil"/>
              <w:bottom w:val="nil"/>
              <w:right w:val="nil"/>
            </w:tcBorders>
            <w:shd w:val="clear" w:color="000000" w:fill="FFFFFF"/>
            <w:noWrap/>
            <w:vAlign w:val="center"/>
            <w:hideMark/>
          </w:tcPr>
          <w:p w:rsidR="00D66F0A" w:rsidRPr="00CF36FD" w:rsidRDefault="00D66F0A" w:rsidP="00D66F0A">
            <w:pPr>
              <w:jc w:val="center"/>
              <w:rPr>
                <w:rFonts w:asciiTheme="majorHAnsi" w:eastAsia="Times New Roman" w:hAnsiTheme="majorHAnsi" w:cstheme="minorHAnsi"/>
                <w:color w:val="FFFFFF"/>
                <w:sz w:val="18"/>
                <w:szCs w:val="18"/>
                <w:lang w:eastAsia="it-IT"/>
              </w:rPr>
            </w:pPr>
            <w:r w:rsidRPr="00CF36FD">
              <w:rPr>
                <w:rFonts w:asciiTheme="majorHAnsi" w:eastAsia="Times New Roman" w:hAnsiTheme="majorHAnsi" w:cstheme="minorHAnsi"/>
                <w:color w:val="FFFFFF"/>
                <w:sz w:val="18"/>
                <w:szCs w:val="18"/>
                <w:lang w:eastAsia="it-IT"/>
              </w:rPr>
              <w:t> </w:t>
            </w:r>
          </w:p>
        </w:tc>
        <w:tc>
          <w:tcPr>
            <w:tcW w:w="1587" w:type="dxa"/>
            <w:vMerge/>
            <w:tcBorders>
              <w:top w:val="nil"/>
              <w:left w:val="nil"/>
              <w:bottom w:val="nil"/>
              <w:right w:val="nil"/>
            </w:tcBorders>
            <w:vAlign w:val="center"/>
            <w:hideMark/>
          </w:tcPr>
          <w:p w:rsidR="00D66F0A" w:rsidRPr="00CF36FD" w:rsidRDefault="00D66F0A" w:rsidP="00D66F0A">
            <w:pPr>
              <w:jc w:val="left"/>
              <w:rPr>
                <w:rFonts w:asciiTheme="majorHAnsi" w:eastAsia="Times New Roman" w:hAnsiTheme="majorHAnsi" w:cstheme="minorHAnsi"/>
                <w:color w:val="FFFFFF"/>
                <w:sz w:val="18"/>
                <w:szCs w:val="18"/>
                <w:lang w:eastAsia="it-IT"/>
              </w:rPr>
            </w:pPr>
          </w:p>
        </w:tc>
        <w:tc>
          <w:tcPr>
            <w:tcW w:w="1062" w:type="dxa"/>
            <w:tcBorders>
              <w:top w:val="nil"/>
              <w:left w:val="nil"/>
              <w:bottom w:val="nil"/>
              <w:right w:val="nil"/>
            </w:tcBorders>
            <w:shd w:val="clear" w:color="000000" w:fill="1F497D"/>
            <w:noWrap/>
            <w:vAlign w:val="center"/>
            <w:hideMark/>
          </w:tcPr>
          <w:p w:rsidR="00D66F0A" w:rsidRPr="00CF36FD" w:rsidRDefault="00D66F0A" w:rsidP="00D66F0A">
            <w:pPr>
              <w:jc w:val="center"/>
              <w:rPr>
                <w:rFonts w:asciiTheme="majorHAnsi" w:eastAsia="Times New Roman" w:hAnsiTheme="majorHAnsi" w:cstheme="minorHAnsi"/>
                <w:color w:val="FFFFFF"/>
                <w:sz w:val="18"/>
                <w:szCs w:val="18"/>
                <w:lang w:eastAsia="it-IT"/>
              </w:rPr>
            </w:pPr>
            <w:r w:rsidRPr="00CF36FD">
              <w:rPr>
                <w:rFonts w:asciiTheme="majorHAnsi" w:eastAsia="Times New Roman" w:hAnsiTheme="majorHAnsi" w:cstheme="minorHAnsi"/>
                <w:color w:val="FFFFFF"/>
                <w:sz w:val="18"/>
                <w:szCs w:val="18"/>
                <w:lang w:eastAsia="it-IT"/>
              </w:rPr>
              <w:t>2016</w:t>
            </w:r>
          </w:p>
        </w:tc>
        <w:tc>
          <w:tcPr>
            <w:tcW w:w="1062" w:type="dxa"/>
            <w:tcBorders>
              <w:top w:val="nil"/>
              <w:left w:val="nil"/>
              <w:bottom w:val="nil"/>
              <w:right w:val="nil"/>
            </w:tcBorders>
            <w:shd w:val="clear" w:color="000000" w:fill="1F497D"/>
            <w:noWrap/>
            <w:vAlign w:val="center"/>
            <w:hideMark/>
          </w:tcPr>
          <w:p w:rsidR="00D66F0A" w:rsidRPr="00CF36FD" w:rsidRDefault="00D66F0A" w:rsidP="00D66F0A">
            <w:pPr>
              <w:jc w:val="center"/>
              <w:rPr>
                <w:rFonts w:asciiTheme="majorHAnsi" w:eastAsia="Times New Roman" w:hAnsiTheme="majorHAnsi" w:cstheme="minorHAnsi"/>
                <w:color w:val="FFFFFF"/>
                <w:sz w:val="18"/>
                <w:szCs w:val="18"/>
                <w:lang w:eastAsia="it-IT"/>
              </w:rPr>
            </w:pPr>
            <w:r w:rsidRPr="00CF36FD">
              <w:rPr>
                <w:rFonts w:asciiTheme="majorHAnsi" w:eastAsia="Times New Roman" w:hAnsiTheme="majorHAnsi" w:cstheme="minorHAnsi"/>
                <w:color w:val="FFFFFF"/>
                <w:sz w:val="18"/>
                <w:szCs w:val="18"/>
                <w:lang w:eastAsia="it-IT"/>
              </w:rPr>
              <w:t>2017</w:t>
            </w:r>
          </w:p>
        </w:tc>
        <w:tc>
          <w:tcPr>
            <w:tcW w:w="1176" w:type="dxa"/>
            <w:vMerge/>
            <w:tcBorders>
              <w:top w:val="nil"/>
              <w:left w:val="nil"/>
              <w:bottom w:val="nil"/>
              <w:right w:val="nil"/>
            </w:tcBorders>
            <w:vAlign w:val="center"/>
            <w:hideMark/>
          </w:tcPr>
          <w:p w:rsidR="00D66F0A" w:rsidRPr="00CF36FD" w:rsidRDefault="00D66F0A" w:rsidP="00D66F0A">
            <w:pPr>
              <w:jc w:val="left"/>
              <w:rPr>
                <w:rFonts w:asciiTheme="majorHAnsi" w:eastAsia="Times New Roman" w:hAnsiTheme="majorHAnsi" w:cstheme="minorHAnsi"/>
                <w:color w:val="FFFFFF"/>
                <w:sz w:val="18"/>
                <w:szCs w:val="18"/>
                <w:lang w:eastAsia="it-IT"/>
              </w:rPr>
            </w:pPr>
          </w:p>
        </w:tc>
      </w:tr>
      <w:tr w:rsidR="00D66F0A" w:rsidRPr="00CF36FD" w:rsidTr="00CF36FD">
        <w:trPr>
          <w:trHeight w:val="315"/>
        </w:trPr>
        <w:tc>
          <w:tcPr>
            <w:tcW w:w="1230"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 xml:space="preserve">   Abruzzo </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6,130.60</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6,271.90</w:t>
            </w:r>
          </w:p>
        </w:tc>
        <w:tc>
          <w:tcPr>
            <w:tcW w:w="1105"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2.3</w:t>
            </w:r>
          </w:p>
        </w:tc>
        <w:tc>
          <w:tcPr>
            <w:tcW w:w="256" w:type="dxa"/>
            <w:tcBorders>
              <w:top w:val="nil"/>
              <w:left w:val="nil"/>
              <w:bottom w:val="nil"/>
              <w:right w:val="nil"/>
            </w:tcBorders>
            <w:shd w:val="clear" w:color="000000" w:fill="FFFFFF"/>
            <w:noWrap/>
            <w:vAlign w:val="center"/>
            <w:hideMark/>
          </w:tcPr>
          <w:p w:rsidR="00D66F0A" w:rsidRPr="00CF36FD" w:rsidRDefault="00D66F0A" w:rsidP="00D66F0A">
            <w:pPr>
              <w:jc w:val="right"/>
              <w:rPr>
                <w:rFonts w:asciiTheme="majorHAnsi" w:eastAsia="Times New Roman" w:hAnsiTheme="majorHAnsi" w:cstheme="minorHAnsi"/>
                <w:color w:val="FFFFFF"/>
                <w:sz w:val="18"/>
                <w:szCs w:val="18"/>
                <w:lang w:eastAsia="it-IT"/>
              </w:rPr>
            </w:pPr>
            <w:r w:rsidRPr="00CF36FD">
              <w:rPr>
                <w:rFonts w:asciiTheme="majorHAnsi" w:eastAsia="Times New Roman" w:hAnsiTheme="majorHAnsi" w:cstheme="minorHAnsi"/>
                <w:color w:val="FFFFFF"/>
                <w:sz w:val="18"/>
                <w:szCs w:val="18"/>
                <w:lang w:eastAsia="it-IT"/>
              </w:rPr>
              <w:t> </w:t>
            </w:r>
          </w:p>
        </w:tc>
        <w:tc>
          <w:tcPr>
            <w:tcW w:w="1587"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 xml:space="preserve">Catanzaro </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60.7</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60.8</w:t>
            </w:r>
          </w:p>
        </w:tc>
        <w:tc>
          <w:tcPr>
            <w:tcW w:w="1176"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0.2</w:t>
            </w:r>
          </w:p>
        </w:tc>
      </w:tr>
      <w:tr w:rsidR="00D66F0A" w:rsidRPr="00CF36FD" w:rsidTr="00CF36FD">
        <w:trPr>
          <w:trHeight w:val="315"/>
        </w:trPr>
        <w:tc>
          <w:tcPr>
            <w:tcW w:w="1230"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 xml:space="preserve">L'Aquila </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398.4</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431.5</w:t>
            </w:r>
          </w:p>
        </w:tc>
        <w:tc>
          <w:tcPr>
            <w:tcW w:w="1105"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8.3</w:t>
            </w:r>
          </w:p>
        </w:tc>
        <w:tc>
          <w:tcPr>
            <w:tcW w:w="256" w:type="dxa"/>
            <w:tcBorders>
              <w:top w:val="nil"/>
              <w:left w:val="nil"/>
              <w:bottom w:val="nil"/>
              <w:right w:val="nil"/>
            </w:tcBorders>
            <w:shd w:val="clear" w:color="000000" w:fill="FFFFFF"/>
            <w:noWrap/>
            <w:vAlign w:val="center"/>
            <w:hideMark/>
          </w:tcPr>
          <w:p w:rsidR="00D66F0A" w:rsidRPr="00CF36FD" w:rsidRDefault="00D66F0A" w:rsidP="00D66F0A">
            <w:pPr>
              <w:jc w:val="right"/>
              <w:rPr>
                <w:rFonts w:asciiTheme="majorHAnsi" w:eastAsia="Times New Roman" w:hAnsiTheme="majorHAnsi" w:cstheme="minorHAnsi"/>
                <w:color w:val="FFFFFF"/>
                <w:sz w:val="18"/>
                <w:szCs w:val="18"/>
                <w:lang w:eastAsia="it-IT"/>
              </w:rPr>
            </w:pPr>
            <w:r w:rsidRPr="00CF36FD">
              <w:rPr>
                <w:rFonts w:asciiTheme="majorHAnsi" w:eastAsia="Times New Roman" w:hAnsiTheme="majorHAnsi" w:cstheme="minorHAnsi"/>
                <w:color w:val="FFFFFF"/>
                <w:sz w:val="18"/>
                <w:szCs w:val="18"/>
                <w:lang w:eastAsia="it-IT"/>
              </w:rPr>
              <w:t> </w:t>
            </w:r>
          </w:p>
        </w:tc>
        <w:tc>
          <w:tcPr>
            <w:tcW w:w="1587"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 xml:space="preserve">Reggio Calabria </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128</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161.1</w:t>
            </w:r>
          </w:p>
        </w:tc>
        <w:tc>
          <w:tcPr>
            <w:tcW w:w="1176"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25.9</w:t>
            </w:r>
          </w:p>
        </w:tc>
      </w:tr>
      <w:tr w:rsidR="00D66F0A" w:rsidRPr="00CF36FD" w:rsidTr="00CF36FD">
        <w:trPr>
          <w:trHeight w:val="315"/>
        </w:trPr>
        <w:tc>
          <w:tcPr>
            <w:tcW w:w="1230"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 xml:space="preserve">Teramo </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941.1</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1,005.70</w:t>
            </w:r>
          </w:p>
        </w:tc>
        <w:tc>
          <w:tcPr>
            <w:tcW w:w="1105"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6.9</w:t>
            </w:r>
          </w:p>
        </w:tc>
        <w:tc>
          <w:tcPr>
            <w:tcW w:w="256" w:type="dxa"/>
            <w:tcBorders>
              <w:top w:val="nil"/>
              <w:left w:val="nil"/>
              <w:bottom w:val="nil"/>
              <w:right w:val="nil"/>
            </w:tcBorders>
            <w:shd w:val="clear" w:color="000000" w:fill="FFFFFF"/>
            <w:noWrap/>
            <w:vAlign w:val="center"/>
            <w:hideMark/>
          </w:tcPr>
          <w:p w:rsidR="00D66F0A" w:rsidRPr="00CF36FD" w:rsidRDefault="00D66F0A" w:rsidP="00D66F0A">
            <w:pPr>
              <w:jc w:val="right"/>
              <w:rPr>
                <w:rFonts w:asciiTheme="majorHAnsi" w:eastAsia="Times New Roman" w:hAnsiTheme="majorHAnsi" w:cstheme="minorHAnsi"/>
                <w:color w:val="FFFFFF"/>
                <w:sz w:val="18"/>
                <w:szCs w:val="18"/>
                <w:lang w:eastAsia="it-IT"/>
              </w:rPr>
            </w:pPr>
            <w:r w:rsidRPr="00CF36FD">
              <w:rPr>
                <w:rFonts w:asciiTheme="majorHAnsi" w:eastAsia="Times New Roman" w:hAnsiTheme="majorHAnsi" w:cstheme="minorHAnsi"/>
                <w:color w:val="FFFFFF"/>
                <w:sz w:val="18"/>
                <w:szCs w:val="18"/>
                <w:lang w:eastAsia="it-IT"/>
              </w:rPr>
              <w:t> </w:t>
            </w:r>
          </w:p>
        </w:tc>
        <w:tc>
          <w:tcPr>
            <w:tcW w:w="1587"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 xml:space="preserve">Crotone </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22.9</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18.3</w:t>
            </w:r>
          </w:p>
        </w:tc>
        <w:tc>
          <w:tcPr>
            <w:tcW w:w="1176"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-20.1</w:t>
            </w:r>
          </w:p>
        </w:tc>
      </w:tr>
      <w:tr w:rsidR="00D66F0A" w:rsidRPr="00CF36FD" w:rsidTr="00CF36FD">
        <w:trPr>
          <w:trHeight w:val="315"/>
        </w:trPr>
        <w:tc>
          <w:tcPr>
            <w:tcW w:w="1230"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 xml:space="preserve">Pescara </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406.7</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413.9</w:t>
            </w:r>
          </w:p>
        </w:tc>
        <w:tc>
          <w:tcPr>
            <w:tcW w:w="1105"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1.8</w:t>
            </w:r>
          </w:p>
        </w:tc>
        <w:tc>
          <w:tcPr>
            <w:tcW w:w="256" w:type="dxa"/>
            <w:tcBorders>
              <w:top w:val="nil"/>
              <w:left w:val="nil"/>
              <w:bottom w:val="nil"/>
              <w:right w:val="nil"/>
            </w:tcBorders>
            <w:shd w:val="clear" w:color="000000" w:fill="FFFFFF"/>
            <w:noWrap/>
            <w:vAlign w:val="center"/>
            <w:hideMark/>
          </w:tcPr>
          <w:p w:rsidR="00D66F0A" w:rsidRPr="00CF36FD" w:rsidRDefault="00D66F0A" w:rsidP="00D66F0A">
            <w:pPr>
              <w:jc w:val="right"/>
              <w:rPr>
                <w:rFonts w:asciiTheme="majorHAnsi" w:eastAsia="Times New Roman" w:hAnsiTheme="majorHAnsi" w:cstheme="minorHAnsi"/>
                <w:color w:val="FFFFFF"/>
                <w:sz w:val="18"/>
                <w:szCs w:val="18"/>
                <w:lang w:eastAsia="it-IT"/>
              </w:rPr>
            </w:pPr>
            <w:r w:rsidRPr="00CF36FD">
              <w:rPr>
                <w:rFonts w:asciiTheme="majorHAnsi" w:eastAsia="Times New Roman" w:hAnsiTheme="majorHAnsi" w:cstheme="minorHAnsi"/>
                <w:color w:val="FFFFFF"/>
                <w:sz w:val="18"/>
                <w:szCs w:val="18"/>
                <w:lang w:eastAsia="it-IT"/>
              </w:rPr>
              <w:t> </w:t>
            </w:r>
          </w:p>
        </w:tc>
        <w:tc>
          <w:tcPr>
            <w:tcW w:w="1587"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 xml:space="preserve">Vibo Valentia </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27.9</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26.6</w:t>
            </w:r>
          </w:p>
        </w:tc>
        <w:tc>
          <w:tcPr>
            <w:tcW w:w="1176"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-4.7</w:t>
            </w:r>
          </w:p>
        </w:tc>
      </w:tr>
      <w:tr w:rsidR="00D66F0A" w:rsidRPr="00CF36FD" w:rsidTr="00CF36FD">
        <w:trPr>
          <w:trHeight w:val="315"/>
        </w:trPr>
        <w:tc>
          <w:tcPr>
            <w:tcW w:w="1230"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 xml:space="preserve">Chieti </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4,384.40</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4,420.80</w:t>
            </w:r>
          </w:p>
        </w:tc>
        <w:tc>
          <w:tcPr>
            <w:tcW w:w="1105"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0.8</w:t>
            </w:r>
          </w:p>
        </w:tc>
        <w:tc>
          <w:tcPr>
            <w:tcW w:w="256" w:type="dxa"/>
            <w:tcBorders>
              <w:top w:val="nil"/>
              <w:left w:val="nil"/>
              <w:bottom w:val="nil"/>
              <w:right w:val="nil"/>
            </w:tcBorders>
            <w:shd w:val="clear" w:color="000000" w:fill="FFFFFF"/>
            <w:noWrap/>
            <w:vAlign w:val="center"/>
            <w:hideMark/>
          </w:tcPr>
          <w:p w:rsidR="00D66F0A" w:rsidRPr="00CF36FD" w:rsidRDefault="00D66F0A" w:rsidP="00D66F0A">
            <w:pPr>
              <w:jc w:val="right"/>
              <w:rPr>
                <w:rFonts w:asciiTheme="majorHAnsi" w:eastAsia="Times New Roman" w:hAnsiTheme="majorHAnsi" w:cstheme="minorHAnsi"/>
                <w:color w:val="FFFFFF"/>
                <w:sz w:val="18"/>
                <w:szCs w:val="18"/>
                <w:lang w:eastAsia="it-IT"/>
              </w:rPr>
            </w:pPr>
            <w:r w:rsidRPr="00CF36FD">
              <w:rPr>
                <w:rFonts w:asciiTheme="majorHAnsi" w:eastAsia="Times New Roman" w:hAnsiTheme="majorHAnsi" w:cstheme="minorHAnsi"/>
                <w:color w:val="FFFFFF"/>
                <w:sz w:val="18"/>
                <w:szCs w:val="18"/>
                <w:lang w:eastAsia="it-IT"/>
              </w:rPr>
              <w:t> </w:t>
            </w:r>
          </w:p>
        </w:tc>
        <w:tc>
          <w:tcPr>
            <w:tcW w:w="1587"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 xml:space="preserve">   Sicilia </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5,143.10</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6,822.70</w:t>
            </w:r>
          </w:p>
        </w:tc>
        <w:tc>
          <w:tcPr>
            <w:tcW w:w="1176"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32.7</w:t>
            </w:r>
          </w:p>
        </w:tc>
      </w:tr>
      <w:tr w:rsidR="00D66F0A" w:rsidRPr="00CF36FD" w:rsidTr="00CF36FD">
        <w:trPr>
          <w:trHeight w:val="315"/>
        </w:trPr>
        <w:tc>
          <w:tcPr>
            <w:tcW w:w="1230"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 xml:space="preserve">   Molise </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430.3</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299.4</w:t>
            </w:r>
          </w:p>
        </w:tc>
        <w:tc>
          <w:tcPr>
            <w:tcW w:w="1105"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-30.4</w:t>
            </w:r>
          </w:p>
        </w:tc>
        <w:tc>
          <w:tcPr>
            <w:tcW w:w="256" w:type="dxa"/>
            <w:tcBorders>
              <w:top w:val="nil"/>
              <w:left w:val="nil"/>
              <w:bottom w:val="nil"/>
              <w:right w:val="nil"/>
            </w:tcBorders>
            <w:shd w:val="clear" w:color="000000" w:fill="FFFFFF"/>
            <w:noWrap/>
            <w:vAlign w:val="center"/>
            <w:hideMark/>
          </w:tcPr>
          <w:p w:rsidR="00D66F0A" w:rsidRPr="00CF36FD" w:rsidRDefault="00D66F0A" w:rsidP="00D66F0A">
            <w:pPr>
              <w:jc w:val="right"/>
              <w:rPr>
                <w:rFonts w:asciiTheme="majorHAnsi" w:eastAsia="Times New Roman" w:hAnsiTheme="majorHAnsi" w:cstheme="minorHAnsi"/>
                <w:color w:val="FFFFFF"/>
                <w:sz w:val="18"/>
                <w:szCs w:val="18"/>
                <w:lang w:eastAsia="it-IT"/>
              </w:rPr>
            </w:pPr>
            <w:r w:rsidRPr="00CF36FD">
              <w:rPr>
                <w:rFonts w:asciiTheme="majorHAnsi" w:eastAsia="Times New Roman" w:hAnsiTheme="majorHAnsi" w:cstheme="minorHAnsi"/>
                <w:color w:val="FFFFFF"/>
                <w:sz w:val="18"/>
                <w:szCs w:val="18"/>
                <w:lang w:eastAsia="it-IT"/>
              </w:rPr>
              <w:t> </w:t>
            </w:r>
          </w:p>
        </w:tc>
        <w:tc>
          <w:tcPr>
            <w:tcW w:w="1587"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 xml:space="preserve">Trapani </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198</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189.2</w:t>
            </w:r>
          </w:p>
        </w:tc>
        <w:tc>
          <w:tcPr>
            <w:tcW w:w="1176"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-4.4</w:t>
            </w:r>
          </w:p>
        </w:tc>
      </w:tr>
      <w:tr w:rsidR="00D66F0A" w:rsidRPr="00CF36FD" w:rsidTr="00CF36FD">
        <w:trPr>
          <w:trHeight w:val="315"/>
        </w:trPr>
        <w:tc>
          <w:tcPr>
            <w:tcW w:w="1230"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 xml:space="preserve">Campobasso </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371.5</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242.1</w:t>
            </w:r>
          </w:p>
        </w:tc>
        <w:tc>
          <w:tcPr>
            <w:tcW w:w="1105"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-34.8</w:t>
            </w:r>
          </w:p>
        </w:tc>
        <w:tc>
          <w:tcPr>
            <w:tcW w:w="256" w:type="dxa"/>
            <w:tcBorders>
              <w:top w:val="nil"/>
              <w:left w:val="nil"/>
              <w:bottom w:val="nil"/>
              <w:right w:val="nil"/>
            </w:tcBorders>
            <w:shd w:val="clear" w:color="000000" w:fill="FFFFFF"/>
            <w:noWrap/>
            <w:vAlign w:val="center"/>
            <w:hideMark/>
          </w:tcPr>
          <w:p w:rsidR="00D66F0A" w:rsidRPr="00CF36FD" w:rsidRDefault="00D66F0A" w:rsidP="00D66F0A">
            <w:pPr>
              <w:jc w:val="right"/>
              <w:rPr>
                <w:rFonts w:asciiTheme="majorHAnsi" w:eastAsia="Times New Roman" w:hAnsiTheme="majorHAnsi" w:cstheme="minorHAnsi"/>
                <w:color w:val="FFFFFF"/>
                <w:sz w:val="18"/>
                <w:szCs w:val="18"/>
                <w:lang w:eastAsia="it-IT"/>
              </w:rPr>
            </w:pPr>
            <w:r w:rsidRPr="00CF36FD">
              <w:rPr>
                <w:rFonts w:asciiTheme="majorHAnsi" w:eastAsia="Times New Roman" w:hAnsiTheme="majorHAnsi" w:cstheme="minorHAnsi"/>
                <w:color w:val="FFFFFF"/>
                <w:sz w:val="18"/>
                <w:szCs w:val="18"/>
                <w:lang w:eastAsia="it-IT"/>
              </w:rPr>
              <w:t> </w:t>
            </w:r>
          </w:p>
        </w:tc>
        <w:tc>
          <w:tcPr>
            <w:tcW w:w="1587"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 xml:space="preserve">Palermo </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205.5</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204.2</w:t>
            </w:r>
          </w:p>
        </w:tc>
        <w:tc>
          <w:tcPr>
            <w:tcW w:w="1176"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-0.6</w:t>
            </w:r>
          </w:p>
        </w:tc>
      </w:tr>
      <w:tr w:rsidR="00D66F0A" w:rsidRPr="00CF36FD" w:rsidTr="00CF36FD">
        <w:trPr>
          <w:trHeight w:val="315"/>
        </w:trPr>
        <w:tc>
          <w:tcPr>
            <w:tcW w:w="1230"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 xml:space="preserve">Isernia </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58.8</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57.3</w:t>
            </w:r>
          </w:p>
        </w:tc>
        <w:tc>
          <w:tcPr>
            <w:tcW w:w="1105"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-2.5</w:t>
            </w:r>
          </w:p>
        </w:tc>
        <w:tc>
          <w:tcPr>
            <w:tcW w:w="256" w:type="dxa"/>
            <w:tcBorders>
              <w:top w:val="nil"/>
              <w:left w:val="nil"/>
              <w:bottom w:val="nil"/>
              <w:right w:val="nil"/>
            </w:tcBorders>
            <w:shd w:val="clear" w:color="000000" w:fill="FFFFFF"/>
            <w:noWrap/>
            <w:vAlign w:val="center"/>
            <w:hideMark/>
          </w:tcPr>
          <w:p w:rsidR="00D66F0A" w:rsidRPr="00CF36FD" w:rsidRDefault="00D66F0A" w:rsidP="00D66F0A">
            <w:pPr>
              <w:jc w:val="right"/>
              <w:rPr>
                <w:rFonts w:asciiTheme="majorHAnsi" w:eastAsia="Times New Roman" w:hAnsiTheme="majorHAnsi" w:cstheme="minorHAnsi"/>
                <w:color w:val="FFFFFF"/>
                <w:sz w:val="18"/>
                <w:szCs w:val="18"/>
                <w:lang w:eastAsia="it-IT"/>
              </w:rPr>
            </w:pPr>
            <w:r w:rsidRPr="00CF36FD">
              <w:rPr>
                <w:rFonts w:asciiTheme="majorHAnsi" w:eastAsia="Times New Roman" w:hAnsiTheme="majorHAnsi" w:cstheme="minorHAnsi"/>
                <w:color w:val="FFFFFF"/>
                <w:sz w:val="18"/>
                <w:szCs w:val="18"/>
                <w:lang w:eastAsia="it-IT"/>
              </w:rPr>
              <w:t> </w:t>
            </w:r>
          </w:p>
        </w:tc>
        <w:tc>
          <w:tcPr>
            <w:tcW w:w="1587"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 xml:space="preserve">Messina </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605.9</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806.6</w:t>
            </w:r>
          </w:p>
        </w:tc>
        <w:tc>
          <w:tcPr>
            <w:tcW w:w="1176"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33.1</w:t>
            </w:r>
          </w:p>
        </w:tc>
      </w:tr>
      <w:tr w:rsidR="00D66F0A" w:rsidRPr="00CF36FD" w:rsidTr="00CF36FD">
        <w:trPr>
          <w:trHeight w:val="315"/>
        </w:trPr>
        <w:tc>
          <w:tcPr>
            <w:tcW w:w="1230"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 xml:space="preserve">   Campania </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7,481.40</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7,636.10</w:t>
            </w:r>
          </w:p>
        </w:tc>
        <w:tc>
          <w:tcPr>
            <w:tcW w:w="1105"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2.1</w:t>
            </w:r>
          </w:p>
        </w:tc>
        <w:tc>
          <w:tcPr>
            <w:tcW w:w="256" w:type="dxa"/>
            <w:tcBorders>
              <w:top w:val="nil"/>
              <w:left w:val="nil"/>
              <w:bottom w:val="nil"/>
              <w:right w:val="nil"/>
            </w:tcBorders>
            <w:shd w:val="clear" w:color="000000" w:fill="FFFFFF"/>
            <w:noWrap/>
            <w:vAlign w:val="center"/>
            <w:hideMark/>
          </w:tcPr>
          <w:p w:rsidR="00D66F0A" w:rsidRPr="00CF36FD" w:rsidRDefault="00D66F0A" w:rsidP="00D66F0A">
            <w:pPr>
              <w:jc w:val="right"/>
              <w:rPr>
                <w:rFonts w:asciiTheme="majorHAnsi" w:eastAsia="Times New Roman" w:hAnsiTheme="majorHAnsi" w:cstheme="minorHAnsi"/>
                <w:color w:val="FFFFFF"/>
                <w:sz w:val="18"/>
                <w:szCs w:val="18"/>
                <w:lang w:eastAsia="it-IT"/>
              </w:rPr>
            </w:pPr>
            <w:r w:rsidRPr="00CF36FD">
              <w:rPr>
                <w:rFonts w:asciiTheme="majorHAnsi" w:eastAsia="Times New Roman" w:hAnsiTheme="majorHAnsi" w:cstheme="minorHAnsi"/>
                <w:color w:val="FFFFFF"/>
                <w:sz w:val="18"/>
                <w:szCs w:val="18"/>
                <w:lang w:eastAsia="it-IT"/>
              </w:rPr>
              <w:t> </w:t>
            </w:r>
          </w:p>
        </w:tc>
        <w:tc>
          <w:tcPr>
            <w:tcW w:w="1587"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 xml:space="preserve">Agrigento </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95</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109.5</w:t>
            </w:r>
          </w:p>
        </w:tc>
        <w:tc>
          <w:tcPr>
            <w:tcW w:w="1176"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15.2</w:t>
            </w:r>
          </w:p>
        </w:tc>
      </w:tr>
      <w:tr w:rsidR="00D66F0A" w:rsidRPr="00CF36FD" w:rsidTr="00CF36FD">
        <w:trPr>
          <w:trHeight w:val="315"/>
        </w:trPr>
        <w:tc>
          <w:tcPr>
            <w:tcW w:w="1230"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 xml:space="preserve">Caserta </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857.3</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841.2</w:t>
            </w:r>
          </w:p>
        </w:tc>
        <w:tc>
          <w:tcPr>
            <w:tcW w:w="1105"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-1.9</w:t>
            </w:r>
          </w:p>
        </w:tc>
        <w:tc>
          <w:tcPr>
            <w:tcW w:w="256" w:type="dxa"/>
            <w:tcBorders>
              <w:top w:val="nil"/>
              <w:left w:val="nil"/>
              <w:bottom w:val="nil"/>
              <w:right w:val="nil"/>
            </w:tcBorders>
            <w:shd w:val="clear" w:color="000000" w:fill="FFFFFF"/>
            <w:noWrap/>
            <w:vAlign w:val="center"/>
            <w:hideMark/>
          </w:tcPr>
          <w:p w:rsidR="00D66F0A" w:rsidRPr="00CF36FD" w:rsidRDefault="00D66F0A" w:rsidP="00D66F0A">
            <w:pPr>
              <w:jc w:val="right"/>
              <w:rPr>
                <w:rFonts w:asciiTheme="majorHAnsi" w:eastAsia="Times New Roman" w:hAnsiTheme="majorHAnsi" w:cstheme="minorHAnsi"/>
                <w:color w:val="FFFFFF"/>
                <w:sz w:val="18"/>
                <w:szCs w:val="18"/>
                <w:lang w:eastAsia="it-IT"/>
              </w:rPr>
            </w:pPr>
            <w:r w:rsidRPr="00CF36FD">
              <w:rPr>
                <w:rFonts w:asciiTheme="majorHAnsi" w:eastAsia="Times New Roman" w:hAnsiTheme="majorHAnsi" w:cstheme="minorHAnsi"/>
                <w:color w:val="FFFFFF"/>
                <w:sz w:val="18"/>
                <w:szCs w:val="18"/>
                <w:lang w:eastAsia="it-IT"/>
              </w:rPr>
              <w:t> </w:t>
            </w:r>
          </w:p>
        </w:tc>
        <w:tc>
          <w:tcPr>
            <w:tcW w:w="1587"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 xml:space="preserve">Caltanissetta </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42.3</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43.3</w:t>
            </w:r>
          </w:p>
        </w:tc>
        <w:tc>
          <w:tcPr>
            <w:tcW w:w="1176"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2.5</w:t>
            </w:r>
          </w:p>
        </w:tc>
      </w:tr>
      <w:tr w:rsidR="00D66F0A" w:rsidRPr="00CF36FD" w:rsidTr="00CF36FD">
        <w:trPr>
          <w:trHeight w:val="315"/>
        </w:trPr>
        <w:tc>
          <w:tcPr>
            <w:tcW w:w="1230"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 xml:space="preserve">Benevento </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129.4</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131.1</w:t>
            </w:r>
          </w:p>
        </w:tc>
        <w:tc>
          <w:tcPr>
            <w:tcW w:w="1105"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1.4</w:t>
            </w:r>
          </w:p>
        </w:tc>
        <w:tc>
          <w:tcPr>
            <w:tcW w:w="256" w:type="dxa"/>
            <w:tcBorders>
              <w:top w:val="nil"/>
              <w:left w:val="nil"/>
              <w:bottom w:val="nil"/>
              <w:right w:val="nil"/>
            </w:tcBorders>
            <w:shd w:val="clear" w:color="000000" w:fill="FFFFFF"/>
            <w:noWrap/>
            <w:vAlign w:val="center"/>
            <w:hideMark/>
          </w:tcPr>
          <w:p w:rsidR="00D66F0A" w:rsidRPr="00CF36FD" w:rsidRDefault="00D66F0A" w:rsidP="00D66F0A">
            <w:pPr>
              <w:jc w:val="right"/>
              <w:rPr>
                <w:rFonts w:asciiTheme="majorHAnsi" w:eastAsia="Times New Roman" w:hAnsiTheme="majorHAnsi" w:cstheme="minorHAnsi"/>
                <w:color w:val="FFFFFF"/>
                <w:sz w:val="18"/>
                <w:szCs w:val="18"/>
                <w:lang w:eastAsia="it-IT"/>
              </w:rPr>
            </w:pPr>
            <w:r w:rsidRPr="00CF36FD">
              <w:rPr>
                <w:rFonts w:asciiTheme="majorHAnsi" w:eastAsia="Times New Roman" w:hAnsiTheme="majorHAnsi" w:cstheme="minorHAnsi"/>
                <w:color w:val="FFFFFF"/>
                <w:sz w:val="18"/>
                <w:szCs w:val="18"/>
                <w:lang w:eastAsia="it-IT"/>
              </w:rPr>
              <w:t> </w:t>
            </w:r>
          </w:p>
        </w:tc>
        <w:tc>
          <w:tcPr>
            <w:tcW w:w="1587"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 xml:space="preserve">Enna </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6.7</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8.7</w:t>
            </w:r>
          </w:p>
        </w:tc>
        <w:tc>
          <w:tcPr>
            <w:tcW w:w="1176"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30</w:t>
            </w:r>
            <w:r w:rsidR="00C33F57" w:rsidRPr="00CF36FD">
              <w:rPr>
                <w:rFonts w:asciiTheme="majorHAnsi" w:eastAsia="Times New Roman" w:hAnsiTheme="majorHAnsi" w:cstheme="minorHAnsi"/>
                <w:color w:val="000000"/>
                <w:sz w:val="18"/>
                <w:szCs w:val="18"/>
                <w:lang w:eastAsia="it-IT"/>
              </w:rPr>
              <w:t>.0</w:t>
            </w:r>
          </w:p>
        </w:tc>
      </w:tr>
      <w:tr w:rsidR="00D66F0A" w:rsidRPr="00CF36FD" w:rsidTr="00CF36FD">
        <w:trPr>
          <w:trHeight w:val="315"/>
        </w:trPr>
        <w:tc>
          <w:tcPr>
            <w:tcW w:w="1230"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 xml:space="preserve">Napoli </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3,973.50</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4,106.60</w:t>
            </w:r>
          </w:p>
        </w:tc>
        <w:tc>
          <w:tcPr>
            <w:tcW w:w="1105"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3.3</w:t>
            </w:r>
          </w:p>
        </w:tc>
        <w:tc>
          <w:tcPr>
            <w:tcW w:w="256" w:type="dxa"/>
            <w:tcBorders>
              <w:top w:val="nil"/>
              <w:left w:val="nil"/>
              <w:bottom w:val="nil"/>
              <w:right w:val="nil"/>
            </w:tcBorders>
            <w:shd w:val="clear" w:color="000000" w:fill="FFFFFF"/>
            <w:noWrap/>
            <w:vAlign w:val="center"/>
            <w:hideMark/>
          </w:tcPr>
          <w:p w:rsidR="00D66F0A" w:rsidRPr="00CF36FD" w:rsidRDefault="00D66F0A" w:rsidP="00D66F0A">
            <w:pPr>
              <w:jc w:val="right"/>
              <w:rPr>
                <w:rFonts w:asciiTheme="majorHAnsi" w:eastAsia="Times New Roman" w:hAnsiTheme="majorHAnsi" w:cstheme="minorHAnsi"/>
                <w:color w:val="FFFFFF"/>
                <w:sz w:val="18"/>
                <w:szCs w:val="18"/>
                <w:lang w:eastAsia="it-IT"/>
              </w:rPr>
            </w:pPr>
            <w:r w:rsidRPr="00CF36FD">
              <w:rPr>
                <w:rFonts w:asciiTheme="majorHAnsi" w:eastAsia="Times New Roman" w:hAnsiTheme="majorHAnsi" w:cstheme="minorHAnsi"/>
                <w:color w:val="FFFFFF"/>
                <w:sz w:val="18"/>
                <w:szCs w:val="18"/>
                <w:lang w:eastAsia="it-IT"/>
              </w:rPr>
              <w:t> </w:t>
            </w:r>
          </w:p>
        </w:tc>
        <w:tc>
          <w:tcPr>
            <w:tcW w:w="1587"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 xml:space="preserve">Catania </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804.7</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971.6</w:t>
            </w:r>
          </w:p>
        </w:tc>
        <w:tc>
          <w:tcPr>
            <w:tcW w:w="1176"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20.7</w:t>
            </w:r>
          </w:p>
        </w:tc>
      </w:tr>
      <w:tr w:rsidR="00D66F0A" w:rsidRPr="00CF36FD" w:rsidTr="00CF36FD">
        <w:trPr>
          <w:trHeight w:val="315"/>
        </w:trPr>
        <w:tc>
          <w:tcPr>
            <w:tcW w:w="1230"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 xml:space="preserve">Avellino </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770.7</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795.8</w:t>
            </w:r>
          </w:p>
        </w:tc>
        <w:tc>
          <w:tcPr>
            <w:tcW w:w="1105"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3.3</w:t>
            </w:r>
          </w:p>
        </w:tc>
        <w:tc>
          <w:tcPr>
            <w:tcW w:w="256" w:type="dxa"/>
            <w:tcBorders>
              <w:top w:val="nil"/>
              <w:left w:val="nil"/>
              <w:bottom w:val="nil"/>
              <w:right w:val="nil"/>
            </w:tcBorders>
            <w:shd w:val="clear" w:color="000000" w:fill="FFFFFF"/>
            <w:noWrap/>
            <w:vAlign w:val="center"/>
            <w:hideMark/>
          </w:tcPr>
          <w:p w:rsidR="00D66F0A" w:rsidRPr="00CF36FD" w:rsidRDefault="00D66F0A" w:rsidP="00D66F0A">
            <w:pPr>
              <w:jc w:val="right"/>
              <w:rPr>
                <w:rFonts w:asciiTheme="majorHAnsi" w:eastAsia="Times New Roman" w:hAnsiTheme="majorHAnsi" w:cstheme="minorHAnsi"/>
                <w:color w:val="FFFFFF"/>
                <w:sz w:val="18"/>
                <w:szCs w:val="18"/>
                <w:lang w:eastAsia="it-IT"/>
              </w:rPr>
            </w:pPr>
            <w:r w:rsidRPr="00CF36FD">
              <w:rPr>
                <w:rFonts w:asciiTheme="majorHAnsi" w:eastAsia="Times New Roman" w:hAnsiTheme="majorHAnsi" w:cstheme="minorHAnsi"/>
                <w:color w:val="FFFFFF"/>
                <w:sz w:val="18"/>
                <w:szCs w:val="18"/>
                <w:lang w:eastAsia="it-IT"/>
              </w:rPr>
              <w:t> </w:t>
            </w:r>
          </w:p>
        </w:tc>
        <w:tc>
          <w:tcPr>
            <w:tcW w:w="1587"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Ragusa</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252.8</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247.3</w:t>
            </w:r>
          </w:p>
        </w:tc>
        <w:tc>
          <w:tcPr>
            <w:tcW w:w="1176"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-2.2</w:t>
            </w:r>
          </w:p>
        </w:tc>
      </w:tr>
      <w:tr w:rsidR="00D66F0A" w:rsidRPr="00CF36FD" w:rsidTr="00CF36FD">
        <w:trPr>
          <w:trHeight w:val="315"/>
        </w:trPr>
        <w:tc>
          <w:tcPr>
            <w:tcW w:w="1230"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 xml:space="preserve">Salerno </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1,750.60</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1,761.40</w:t>
            </w:r>
          </w:p>
        </w:tc>
        <w:tc>
          <w:tcPr>
            <w:tcW w:w="1105"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0.6</w:t>
            </w:r>
          </w:p>
        </w:tc>
        <w:tc>
          <w:tcPr>
            <w:tcW w:w="256" w:type="dxa"/>
            <w:tcBorders>
              <w:top w:val="nil"/>
              <w:left w:val="nil"/>
              <w:bottom w:val="nil"/>
              <w:right w:val="nil"/>
            </w:tcBorders>
            <w:shd w:val="clear" w:color="000000" w:fill="FFFFFF"/>
            <w:noWrap/>
            <w:vAlign w:val="center"/>
            <w:hideMark/>
          </w:tcPr>
          <w:p w:rsidR="00D66F0A" w:rsidRPr="00CF36FD" w:rsidRDefault="00D66F0A" w:rsidP="00D66F0A">
            <w:pPr>
              <w:jc w:val="right"/>
              <w:rPr>
                <w:rFonts w:asciiTheme="majorHAnsi" w:eastAsia="Times New Roman" w:hAnsiTheme="majorHAnsi" w:cstheme="minorHAnsi"/>
                <w:color w:val="FFFFFF"/>
                <w:sz w:val="18"/>
                <w:szCs w:val="18"/>
                <w:lang w:eastAsia="it-IT"/>
              </w:rPr>
            </w:pPr>
            <w:r w:rsidRPr="00CF36FD">
              <w:rPr>
                <w:rFonts w:asciiTheme="majorHAnsi" w:eastAsia="Times New Roman" w:hAnsiTheme="majorHAnsi" w:cstheme="minorHAnsi"/>
                <w:color w:val="FFFFFF"/>
                <w:sz w:val="18"/>
                <w:szCs w:val="18"/>
                <w:lang w:eastAsia="it-IT"/>
              </w:rPr>
              <w:t> </w:t>
            </w:r>
          </w:p>
        </w:tc>
        <w:tc>
          <w:tcPr>
            <w:tcW w:w="1587"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 xml:space="preserve">Siracusa </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2,932.20</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4,242.30</w:t>
            </w:r>
          </w:p>
        </w:tc>
        <w:tc>
          <w:tcPr>
            <w:tcW w:w="1176"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44.7</w:t>
            </w:r>
          </w:p>
        </w:tc>
      </w:tr>
      <w:tr w:rsidR="00D66F0A" w:rsidRPr="00CF36FD" w:rsidTr="00CF36FD">
        <w:trPr>
          <w:trHeight w:val="315"/>
        </w:trPr>
        <w:tc>
          <w:tcPr>
            <w:tcW w:w="1230"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 xml:space="preserve">   Puglia </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5,824.30</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6,137.30</w:t>
            </w:r>
          </w:p>
        </w:tc>
        <w:tc>
          <w:tcPr>
            <w:tcW w:w="1105"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5.4</w:t>
            </w:r>
          </w:p>
        </w:tc>
        <w:tc>
          <w:tcPr>
            <w:tcW w:w="256" w:type="dxa"/>
            <w:tcBorders>
              <w:top w:val="nil"/>
              <w:left w:val="nil"/>
              <w:bottom w:val="nil"/>
              <w:right w:val="nil"/>
            </w:tcBorders>
            <w:shd w:val="clear" w:color="000000" w:fill="FFFFFF"/>
            <w:noWrap/>
            <w:vAlign w:val="center"/>
            <w:hideMark/>
          </w:tcPr>
          <w:p w:rsidR="00D66F0A" w:rsidRPr="00CF36FD" w:rsidRDefault="00D66F0A" w:rsidP="00D66F0A">
            <w:pPr>
              <w:jc w:val="right"/>
              <w:rPr>
                <w:rFonts w:asciiTheme="majorHAnsi" w:eastAsia="Times New Roman" w:hAnsiTheme="majorHAnsi" w:cstheme="minorHAnsi"/>
                <w:color w:val="FFFFFF"/>
                <w:sz w:val="18"/>
                <w:szCs w:val="18"/>
                <w:lang w:eastAsia="it-IT"/>
              </w:rPr>
            </w:pPr>
            <w:r w:rsidRPr="00CF36FD">
              <w:rPr>
                <w:rFonts w:asciiTheme="majorHAnsi" w:eastAsia="Times New Roman" w:hAnsiTheme="majorHAnsi" w:cstheme="minorHAnsi"/>
                <w:color w:val="FFFFFF"/>
                <w:sz w:val="18"/>
                <w:szCs w:val="18"/>
                <w:lang w:eastAsia="it-IT"/>
              </w:rPr>
              <w:t> </w:t>
            </w:r>
          </w:p>
        </w:tc>
        <w:tc>
          <w:tcPr>
            <w:tcW w:w="1587"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 xml:space="preserve">   Sardegna </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2,929.20</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3,981.50</w:t>
            </w:r>
          </w:p>
        </w:tc>
        <w:tc>
          <w:tcPr>
            <w:tcW w:w="1176"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35.9</w:t>
            </w:r>
          </w:p>
        </w:tc>
      </w:tr>
      <w:tr w:rsidR="00D66F0A" w:rsidRPr="00CF36FD" w:rsidTr="00CF36FD">
        <w:trPr>
          <w:trHeight w:val="315"/>
        </w:trPr>
        <w:tc>
          <w:tcPr>
            <w:tcW w:w="1230"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 xml:space="preserve">Foggia </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572.6</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550.2</w:t>
            </w:r>
          </w:p>
        </w:tc>
        <w:tc>
          <w:tcPr>
            <w:tcW w:w="1105"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-3.9</w:t>
            </w:r>
          </w:p>
        </w:tc>
        <w:tc>
          <w:tcPr>
            <w:tcW w:w="256" w:type="dxa"/>
            <w:tcBorders>
              <w:top w:val="nil"/>
              <w:left w:val="nil"/>
              <w:bottom w:val="nil"/>
              <w:right w:val="nil"/>
            </w:tcBorders>
            <w:shd w:val="clear" w:color="000000" w:fill="FFFFFF"/>
            <w:noWrap/>
            <w:vAlign w:val="center"/>
            <w:hideMark/>
          </w:tcPr>
          <w:p w:rsidR="00D66F0A" w:rsidRPr="00CF36FD" w:rsidRDefault="00D66F0A" w:rsidP="00D66F0A">
            <w:pPr>
              <w:jc w:val="right"/>
              <w:rPr>
                <w:rFonts w:asciiTheme="majorHAnsi" w:eastAsia="Times New Roman" w:hAnsiTheme="majorHAnsi" w:cstheme="minorHAnsi"/>
                <w:color w:val="FFFFFF"/>
                <w:sz w:val="18"/>
                <w:szCs w:val="18"/>
                <w:lang w:eastAsia="it-IT"/>
              </w:rPr>
            </w:pPr>
            <w:r w:rsidRPr="00CF36FD">
              <w:rPr>
                <w:rFonts w:asciiTheme="majorHAnsi" w:eastAsia="Times New Roman" w:hAnsiTheme="majorHAnsi" w:cstheme="minorHAnsi"/>
                <w:color w:val="FFFFFF"/>
                <w:sz w:val="18"/>
                <w:szCs w:val="18"/>
                <w:lang w:eastAsia="it-IT"/>
              </w:rPr>
              <w:t> </w:t>
            </w:r>
          </w:p>
        </w:tc>
        <w:tc>
          <w:tcPr>
            <w:tcW w:w="1587"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 xml:space="preserve">Sassari </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97.2</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107.5</w:t>
            </w:r>
          </w:p>
        </w:tc>
        <w:tc>
          <w:tcPr>
            <w:tcW w:w="1176"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10.5</w:t>
            </w:r>
          </w:p>
        </w:tc>
      </w:tr>
      <w:tr w:rsidR="00D66F0A" w:rsidRPr="00CF36FD" w:rsidTr="00CF36FD">
        <w:trPr>
          <w:trHeight w:val="315"/>
        </w:trPr>
        <w:tc>
          <w:tcPr>
            <w:tcW w:w="1230"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 xml:space="preserve">Bari </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2,818.70</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3,086.70</w:t>
            </w:r>
          </w:p>
        </w:tc>
        <w:tc>
          <w:tcPr>
            <w:tcW w:w="1105"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9.5</w:t>
            </w:r>
          </w:p>
        </w:tc>
        <w:tc>
          <w:tcPr>
            <w:tcW w:w="256" w:type="dxa"/>
            <w:tcBorders>
              <w:top w:val="nil"/>
              <w:left w:val="nil"/>
              <w:bottom w:val="nil"/>
              <w:right w:val="nil"/>
            </w:tcBorders>
            <w:shd w:val="clear" w:color="000000" w:fill="FFFFFF"/>
            <w:noWrap/>
            <w:vAlign w:val="center"/>
            <w:hideMark/>
          </w:tcPr>
          <w:p w:rsidR="00D66F0A" w:rsidRPr="00CF36FD" w:rsidRDefault="00D66F0A" w:rsidP="00D66F0A">
            <w:pPr>
              <w:jc w:val="right"/>
              <w:rPr>
                <w:rFonts w:asciiTheme="majorHAnsi" w:eastAsia="Times New Roman" w:hAnsiTheme="majorHAnsi" w:cstheme="minorHAnsi"/>
                <w:color w:val="FFFFFF"/>
                <w:sz w:val="18"/>
                <w:szCs w:val="18"/>
                <w:lang w:eastAsia="it-IT"/>
              </w:rPr>
            </w:pPr>
            <w:r w:rsidRPr="00CF36FD">
              <w:rPr>
                <w:rFonts w:asciiTheme="majorHAnsi" w:eastAsia="Times New Roman" w:hAnsiTheme="majorHAnsi" w:cstheme="minorHAnsi"/>
                <w:color w:val="FFFFFF"/>
                <w:sz w:val="18"/>
                <w:szCs w:val="18"/>
                <w:lang w:eastAsia="it-IT"/>
              </w:rPr>
              <w:t> </w:t>
            </w:r>
          </w:p>
        </w:tc>
        <w:tc>
          <w:tcPr>
            <w:tcW w:w="1587"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 xml:space="preserve">Nuoro </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44.7</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42.2</w:t>
            </w:r>
          </w:p>
        </w:tc>
        <w:tc>
          <w:tcPr>
            <w:tcW w:w="1176"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-5.7</w:t>
            </w:r>
          </w:p>
        </w:tc>
      </w:tr>
      <w:tr w:rsidR="00D66F0A" w:rsidRPr="00CF36FD" w:rsidTr="00CF36FD">
        <w:trPr>
          <w:trHeight w:val="315"/>
        </w:trPr>
        <w:tc>
          <w:tcPr>
            <w:tcW w:w="1230"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 xml:space="preserve">Taranto </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984.9</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995</w:t>
            </w:r>
          </w:p>
        </w:tc>
        <w:tc>
          <w:tcPr>
            <w:tcW w:w="1105"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1</w:t>
            </w:r>
            <w:r w:rsidR="00C33F57" w:rsidRPr="00CF36FD">
              <w:rPr>
                <w:rFonts w:asciiTheme="majorHAnsi" w:eastAsia="Times New Roman" w:hAnsiTheme="majorHAnsi" w:cstheme="minorHAnsi"/>
                <w:color w:val="000000"/>
                <w:sz w:val="18"/>
                <w:szCs w:val="18"/>
                <w:lang w:eastAsia="it-IT"/>
              </w:rPr>
              <w:t>.0</w:t>
            </w:r>
          </w:p>
        </w:tc>
        <w:tc>
          <w:tcPr>
            <w:tcW w:w="256" w:type="dxa"/>
            <w:tcBorders>
              <w:top w:val="nil"/>
              <w:left w:val="nil"/>
              <w:bottom w:val="nil"/>
              <w:right w:val="nil"/>
            </w:tcBorders>
            <w:shd w:val="clear" w:color="000000" w:fill="FFFFFF"/>
            <w:noWrap/>
            <w:vAlign w:val="center"/>
            <w:hideMark/>
          </w:tcPr>
          <w:p w:rsidR="00D66F0A" w:rsidRPr="00CF36FD" w:rsidRDefault="00D66F0A" w:rsidP="00D66F0A">
            <w:pPr>
              <w:jc w:val="right"/>
              <w:rPr>
                <w:rFonts w:asciiTheme="majorHAnsi" w:eastAsia="Times New Roman" w:hAnsiTheme="majorHAnsi" w:cstheme="minorHAnsi"/>
                <w:color w:val="FFFFFF"/>
                <w:sz w:val="18"/>
                <w:szCs w:val="18"/>
                <w:lang w:eastAsia="it-IT"/>
              </w:rPr>
            </w:pPr>
            <w:r w:rsidRPr="00CF36FD">
              <w:rPr>
                <w:rFonts w:asciiTheme="majorHAnsi" w:eastAsia="Times New Roman" w:hAnsiTheme="majorHAnsi" w:cstheme="minorHAnsi"/>
                <w:color w:val="FFFFFF"/>
                <w:sz w:val="18"/>
                <w:szCs w:val="18"/>
                <w:lang w:eastAsia="it-IT"/>
              </w:rPr>
              <w:t> </w:t>
            </w:r>
          </w:p>
        </w:tc>
        <w:tc>
          <w:tcPr>
            <w:tcW w:w="1587"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 xml:space="preserve">Cagliari </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2,629.90</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3,594.20</w:t>
            </w:r>
          </w:p>
        </w:tc>
        <w:tc>
          <w:tcPr>
            <w:tcW w:w="1176"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36.7</w:t>
            </w:r>
          </w:p>
        </w:tc>
      </w:tr>
      <w:tr w:rsidR="00D66F0A" w:rsidRPr="00CF36FD" w:rsidTr="00CF36FD">
        <w:trPr>
          <w:trHeight w:val="315"/>
        </w:trPr>
        <w:tc>
          <w:tcPr>
            <w:tcW w:w="1230"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 xml:space="preserve">Brindisi </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692.6</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733.7</w:t>
            </w:r>
          </w:p>
        </w:tc>
        <w:tc>
          <w:tcPr>
            <w:tcW w:w="1105"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5.9</w:t>
            </w:r>
          </w:p>
        </w:tc>
        <w:tc>
          <w:tcPr>
            <w:tcW w:w="256" w:type="dxa"/>
            <w:tcBorders>
              <w:top w:val="nil"/>
              <w:left w:val="nil"/>
              <w:bottom w:val="nil"/>
              <w:right w:val="nil"/>
            </w:tcBorders>
            <w:shd w:val="clear" w:color="000000" w:fill="FFFFFF"/>
            <w:noWrap/>
            <w:vAlign w:val="center"/>
            <w:hideMark/>
          </w:tcPr>
          <w:p w:rsidR="00D66F0A" w:rsidRPr="00CF36FD" w:rsidRDefault="00D66F0A" w:rsidP="00D66F0A">
            <w:pPr>
              <w:jc w:val="right"/>
              <w:rPr>
                <w:rFonts w:asciiTheme="majorHAnsi" w:eastAsia="Times New Roman" w:hAnsiTheme="majorHAnsi" w:cstheme="minorHAnsi"/>
                <w:color w:val="FFFFFF"/>
                <w:sz w:val="18"/>
                <w:szCs w:val="18"/>
                <w:lang w:eastAsia="it-IT"/>
              </w:rPr>
            </w:pPr>
            <w:r w:rsidRPr="00CF36FD">
              <w:rPr>
                <w:rFonts w:asciiTheme="majorHAnsi" w:eastAsia="Times New Roman" w:hAnsiTheme="majorHAnsi" w:cstheme="minorHAnsi"/>
                <w:color w:val="FFFFFF"/>
                <w:sz w:val="18"/>
                <w:szCs w:val="18"/>
                <w:lang w:eastAsia="it-IT"/>
              </w:rPr>
              <w:t> </w:t>
            </w:r>
          </w:p>
        </w:tc>
        <w:tc>
          <w:tcPr>
            <w:tcW w:w="1587"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 xml:space="preserve">Oristano </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41.2</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40</w:t>
            </w:r>
          </w:p>
        </w:tc>
        <w:tc>
          <w:tcPr>
            <w:tcW w:w="1176"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-3</w:t>
            </w:r>
            <w:r w:rsidR="00C33F57" w:rsidRPr="00CF36FD">
              <w:rPr>
                <w:rFonts w:asciiTheme="majorHAnsi" w:eastAsia="Times New Roman" w:hAnsiTheme="majorHAnsi" w:cstheme="minorHAnsi"/>
                <w:color w:val="000000"/>
                <w:sz w:val="18"/>
                <w:szCs w:val="18"/>
                <w:lang w:eastAsia="it-IT"/>
              </w:rPr>
              <w:t>.0</w:t>
            </w:r>
          </w:p>
        </w:tc>
      </w:tr>
      <w:tr w:rsidR="00D66F0A" w:rsidRPr="00CF36FD" w:rsidTr="00CF36FD">
        <w:trPr>
          <w:trHeight w:val="315"/>
        </w:trPr>
        <w:tc>
          <w:tcPr>
            <w:tcW w:w="1230"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 xml:space="preserve">Lecce </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372.4</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361.3</w:t>
            </w:r>
          </w:p>
        </w:tc>
        <w:tc>
          <w:tcPr>
            <w:tcW w:w="1105"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-3</w:t>
            </w:r>
            <w:r w:rsidR="00C33F57" w:rsidRPr="00CF36FD">
              <w:rPr>
                <w:rFonts w:asciiTheme="majorHAnsi" w:eastAsia="Times New Roman" w:hAnsiTheme="majorHAnsi" w:cstheme="minorHAnsi"/>
                <w:color w:val="000000"/>
                <w:sz w:val="18"/>
                <w:szCs w:val="18"/>
                <w:lang w:eastAsia="it-IT"/>
              </w:rPr>
              <w:t>.0</w:t>
            </w:r>
          </w:p>
        </w:tc>
        <w:tc>
          <w:tcPr>
            <w:tcW w:w="256" w:type="dxa"/>
            <w:tcBorders>
              <w:top w:val="nil"/>
              <w:left w:val="nil"/>
              <w:bottom w:val="nil"/>
              <w:right w:val="nil"/>
            </w:tcBorders>
            <w:shd w:val="clear" w:color="000000" w:fill="FFFFFF"/>
            <w:noWrap/>
            <w:vAlign w:val="center"/>
            <w:hideMark/>
          </w:tcPr>
          <w:p w:rsidR="00D66F0A" w:rsidRPr="00CF36FD" w:rsidRDefault="00D66F0A" w:rsidP="00D66F0A">
            <w:pPr>
              <w:jc w:val="right"/>
              <w:rPr>
                <w:rFonts w:asciiTheme="majorHAnsi" w:eastAsia="Times New Roman" w:hAnsiTheme="majorHAnsi" w:cstheme="minorHAnsi"/>
                <w:color w:val="FFFFFF"/>
                <w:sz w:val="18"/>
                <w:szCs w:val="18"/>
                <w:lang w:eastAsia="it-IT"/>
              </w:rPr>
            </w:pPr>
            <w:r w:rsidRPr="00CF36FD">
              <w:rPr>
                <w:rFonts w:asciiTheme="majorHAnsi" w:eastAsia="Times New Roman" w:hAnsiTheme="majorHAnsi" w:cstheme="minorHAnsi"/>
                <w:color w:val="FFFFFF"/>
                <w:sz w:val="18"/>
                <w:szCs w:val="18"/>
                <w:lang w:eastAsia="it-IT"/>
              </w:rPr>
              <w:t> </w:t>
            </w:r>
          </w:p>
        </w:tc>
        <w:tc>
          <w:tcPr>
            <w:tcW w:w="1587"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Olbia-Tempio</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30.1</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37.1</w:t>
            </w:r>
          </w:p>
        </w:tc>
        <w:tc>
          <w:tcPr>
            <w:tcW w:w="1176"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23.3</w:t>
            </w:r>
          </w:p>
        </w:tc>
      </w:tr>
      <w:tr w:rsidR="00D66F0A" w:rsidRPr="00CF36FD" w:rsidTr="00CF36FD">
        <w:trPr>
          <w:trHeight w:val="315"/>
        </w:trPr>
        <w:tc>
          <w:tcPr>
            <w:tcW w:w="1230"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BAT</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383.2</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410.4</w:t>
            </w:r>
          </w:p>
        </w:tc>
        <w:tc>
          <w:tcPr>
            <w:tcW w:w="1105"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7.1</w:t>
            </w:r>
          </w:p>
        </w:tc>
        <w:tc>
          <w:tcPr>
            <w:tcW w:w="256" w:type="dxa"/>
            <w:tcBorders>
              <w:top w:val="nil"/>
              <w:left w:val="nil"/>
              <w:bottom w:val="nil"/>
              <w:right w:val="nil"/>
            </w:tcBorders>
            <w:shd w:val="clear" w:color="000000" w:fill="FFFFFF"/>
            <w:noWrap/>
            <w:vAlign w:val="center"/>
            <w:hideMark/>
          </w:tcPr>
          <w:p w:rsidR="00D66F0A" w:rsidRPr="00CF36FD" w:rsidRDefault="00D66F0A" w:rsidP="00D66F0A">
            <w:pPr>
              <w:jc w:val="right"/>
              <w:rPr>
                <w:rFonts w:asciiTheme="majorHAnsi" w:eastAsia="Times New Roman" w:hAnsiTheme="majorHAnsi" w:cstheme="minorHAnsi"/>
                <w:color w:val="FFFFFF"/>
                <w:sz w:val="18"/>
                <w:szCs w:val="18"/>
                <w:lang w:eastAsia="it-IT"/>
              </w:rPr>
            </w:pPr>
            <w:r w:rsidRPr="00CF36FD">
              <w:rPr>
                <w:rFonts w:asciiTheme="majorHAnsi" w:eastAsia="Times New Roman" w:hAnsiTheme="majorHAnsi" w:cstheme="minorHAnsi"/>
                <w:color w:val="FFFFFF"/>
                <w:sz w:val="18"/>
                <w:szCs w:val="18"/>
                <w:lang w:eastAsia="it-IT"/>
              </w:rPr>
              <w:t> </w:t>
            </w:r>
          </w:p>
        </w:tc>
        <w:tc>
          <w:tcPr>
            <w:tcW w:w="1587"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Ogliastra</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0.4</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62.6</w:t>
            </w:r>
          </w:p>
        </w:tc>
        <w:tc>
          <w:tcPr>
            <w:tcW w:w="1176"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17510.7</w:t>
            </w:r>
          </w:p>
        </w:tc>
      </w:tr>
      <w:tr w:rsidR="00D66F0A" w:rsidRPr="00CF36FD" w:rsidTr="00CF36FD">
        <w:trPr>
          <w:trHeight w:val="315"/>
        </w:trPr>
        <w:tc>
          <w:tcPr>
            <w:tcW w:w="1230"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 xml:space="preserve">   Basilicata </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3,350.00</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2,801.90</w:t>
            </w:r>
          </w:p>
        </w:tc>
        <w:tc>
          <w:tcPr>
            <w:tcW w:w="1105"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-16.4</w:t>
            </w:r>
          </w:p>
        </w:tc>
        <w:tc>
          <w:tcPr>
            <w:tcW w:w="256" w:type="dxa"/>
            <w:tcBorders>
              <w:top w:val="nil"/>
              <w:left w:val="nil"/>
              <w:bottom w:val="nil"/>
              <w:right w:val="nil"/>
            </w:tcBorders>
            <w:shd w:val="clear" w:color="000000" w:fill="FFFFFF"/>
            <w:noWrap/>
            <w:vAlign w:val="center"/>
            <w:hideMark/>
          </w:tcPr>
          <w:p w:rsidR="00D66F0A" w:rsidRPr="00CF36FD" w:rsidRDefault="00D66F0A" w:rsidP="00D66F0A">
            <w:pPr>
              <w:jc w:val="right"/>
              <w:rPr>
                <w:rFonts w:asciiTheme="majorHAnsi" w:eastAsia="Times New Roman" w:hAnsiTheme="majorHAnsi" w:cstheme="minorHAnsi"/>
                <w:color w:val="FFFFFF"/>
                <w:sz w:val="18"/>
                <w:szCs w:val="18"/>
                <w:lang w:eastAsia="it-IT"/>
              </w:rPr>
            </w:pPr>
            <w:r w:rsidRPr="00CF36FD">
              <w:rPr>
                <w:rFonts w:asciiTheme="majorHAnsi" w:eastAsia="Times New Roman" w:hAnsiTheme="majorHAnsi" w:cstheme="minorHAnsi"/>
                <w:color w:val="FFFFFF"/>
                <w:sz w:val="18"/>
                <w:szCs w:val="18"/>
                <w:lang w:eastAsia="it-IT"/>
              </w:rPr>
              <w:t> </w:t>
            </w:r>
          </w:p>
        </w:tc>
        <w:tc>
          <w:tcPr>
            <w:tcW w:w="1587" w:type="dxa"/>
            <w:tcBorders>
              <w:top w:val="nil"/>
              <w:left w:val="nil"/>
              <w:bottom w:val="nil"/>
              <w:right w:val="nil"/>
            </w:tcBorders>
            <w:shd w:val="clear" w:color="auto" w:fill="auto"/>
            <w:vAlign w:val="center"/>
            <w:hideMark/>
          </w:tcPr>
          <w:p w:rsidR="00D66F0A" w:rsidRPr="00CF36FD" w:rsidRDefault="00CF36FD" w:rsidP="00D66F0A">
            <w:pPr>
              <w:jc w:val="left"/>
              <w:rPr>
                <w:rFonts w:asciiTheme="majorHAnsi" w:eastAsia="Times New Roman" w:hAnsiTheme="majorHAnsi" w:cstheme="minorHAnsi"/>
                <w:color w:val="000000"/>
                <w:sz w:val="18"/>
                <w:szCs w:val="18"/>
                <w:lang w:eastAsia="it-IT"/>
              </w:rPr>
            </w:pPr>
            <w:r>
              <w:rPr>
                <w:rFonts w:asciiTheme="majorHAnsi" w:eastAsia="Times New Roman" w:hAnsiTheme="majorHAnsi" w:cstheme="minorHAnsi"/>
                <w:color w:val="000000"/>
                <w:sz w:val="18"/>
                <w:szCs w:val="18"/>
                <w:lang w:eastAsia="it-IT"/>
              </w:rPr>
              <w:t>Medio Campidano</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0.1</w:t>
            </w:r>
          </w:p>
        </w:tc>
        <w:tc>
          <w:tcPr>
            <w:tcW w:w="1062"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0.2</w:t>
            </w:r>
          </w:p>
        </w:tc>
        <w:tc>
          <w:tcPr>
            <w:tcW w:w="1176"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57</w:t>
            </w:r>
            <w:r w:rsidR="00C33F57" w:rsidRPr="00CF36FD">
              <w:rPr>
                <w:rFonts w:asciiTheme="majorHAnsi" w:eastAsia="Times New Roman" w:hAnsiTheme="majorHAnsi" w:cstheme="minorHAnsi"/>
                <w:color w:val="000000"/>
                <w:sz w:val="18"/>
                <w:szCs w:val="18"/>
                <w:lang w:eastAsia="it-IT"/>
              </w:rPr>
              <w:t>.0</w:t>
            </w:r>
          </w:p>
        </w:tc>
      </w:tr>
      <w:tr w:rsidR="00D66F0A" w:rsidRPr="00CF36FD" w:rsidTr="00CF36FD">
        <w:trPr>
          <w:trHeight w:val="330"/>
        </w:trPr>
        <w:tc>
          <w:tcPr>
            <w:tcW w:w="1230"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 xml:space="preserve">Potenza </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3,118.20</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2,553.80</w:t>
            </w:r>
          </w:p>
        </w:tc>
        <w:tc>
          <w:tcPr>
            <w:tcW w:w="1105"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-18.1</w:t>
            </w:r>
          </w:p>
        </w:tc>
        <w:tc>
          <w:tcPr>
            <w:tcW w:w="256" w:type="dxa"/>
            <w:tcBorders>
              <w:top w:val="nil"/>
              <w:left w:val="nil"/>
              <w:bottom w:val="nil"/>
              <w:right w:val="nil"/>
            </w:tcBorders>
            <w:shd w:val="clear" w:color="000000" w:fill="FFFFFF"/>
            <w:noWrap/>
            <w:vAlign w:val="center"/>
            <w:hideMark/>
          </w:tcPr>
          <w:p w:rsidR="00D66F0A" w:rsidRPr="00CF36FD" w:rsidRDefault="00D66F0A" w:rsidP="00D66F0A">
            <w:pPr>
              <w:jc w:val="right"/>
              <w:rPr>
                <w:rFonts w:asciiTheme="majorHAnsi" w:eastAsia="Times New Roman" w:hAnsiTheme="majorHAnsi" w:cstheme="minorHAnsi"/>
                <w:color w:val="FFFFFF"/>
                <w:sz w:val="18"/>
                <w:szCs w:val="18"/>
                <w:lang w:eastAsia="it-IT"/>
              </w:rPr>
            </w:pPr>
            <w:r w:rsidRPr="00CF36FD">
              <w:rPr>
                <w:rFonts w:asciiTheme="majorHAnsi" w:eastAsia="Times New Roman" w:hAnsiTheme="majorHAnsi" w:cstheme="minorHAnsi"/>
                <w:color w:val="FFFFFF"/>
                <w:sz w:val="18"/>
                <w:szCs w:val="18"/>
                <w:lang w:eastAsia="it-IT"/>
              </w:rPr>
              <w:t> </w:t>
            </w:r>
          </w:p>
        </w:tc>
        <w:tc>
          <w:tcPr>
            <w:tcW w:w="1587" w:type="dxa"/>
            <w:tcBorders>
              <w:top w:val="nil"/>
              <w:left w:val="nil"/>
              <w:bottom w:val="dashed" w:sz="8" w:space="0" w:color="1F497D"/>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Carbonia-Iglesias</w:t>
            </w:r>
          </w:p>
        </w:tc>
        <w:tc>
          <w:tcPr>
            <w:tcW w:w="1062" w:type="dxa"/>
            <w:tcBorders>
              <w:top w:val="nil"/>
              <w:left w:val="nil"/>
              <w:bottom w:val="dashed" w:sz="8" w:space="0" w:color="1F497D"/>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85.4</w:t>
            </w:r>
          </w:p>
        </w:tc>
        <w:tc>
          <w:tcPr>
            <w:tcW w:w="1062" w:type="dxa"/>
            <w:tcBorders>
              <w:top w:val="nil"/>
              <w:left w:val="nil"/>
              <w:bottom w:val="dashed" w:sz="8" w:space="0" w:color="1F497D"/>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97.7</w:t>
            </w:r>
          </w:p>
        </w:tc>
        <w:tc>
          <w:tcPr>
            <w:tcW w:w="1176" w:type="dxa"/>
            <w:tcBorders>
              <w:top w:val="nil"/>
              <w:left w:val="nil"/>
              <w:bottom w:val="dashed" w:sz="8" w:space="0" w:color="1F497D"/>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14.4</w:t>
            </w:r>
          </w:p>
        </w:tc>
      </w:tr>
      <w:tr w:rsidR="00D66F0A" w:rsidRPr="00CF36FD" w:rsidTr="00CF36FD">
        <w:trPr>
          <w:trHeight w:val="315"/>
        </w:trPr>
        <w:tc>
          <w:tcPr>
            <w:tcW w:w="1230"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 xml:space="preserve">Matera </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231.8</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248.1</w:t>
            </w:r>
          </w:p>
        </w:tc>
        <w:tc>
          <w:tcPr>
            <w:tcW w:w="1105"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7</w:t>
            </w:r>
            <w:r w:rsidR="00C33F57" w:rsidRPr="00CF36FD">
              <w:rPr>
                <w:rFonts w:asciiTheme="majorHAnsi" w:eastAsia="Times New Roman" w:hAnsiTheme="majorHAnsi" w:cstheme="minorHAnsi"/>
                <w:color w:val="000000"/>
                <w:sz w:val="18"/>
                <w:szCs w:val="18"/>
                <w:lang w:eastAsia="it-IT"/>
              </w:rPr>
              <w:t>.0</w:t>
            </w:r>
          </w:p>
        </w:tc>
        <w:tc>
          <w:tcPr>
            <w:tcW w:w="256" w:type="dxa"/>
            <w:tcBorders>
              <w:top w:val="nil"/>
              <w:left w:val="nil"/>
              <w:bottom w:val="nil"/>
              <w:right w:val="nil"/>
            </w:tcBorders>
            <w:shd w:val="clear" w:color="000000" w:fill="FFFFFF"/>
            <w:noWrap/>
            <w:vAlign w:val="center"/>
            <w:hideMark/>
          </w:tcPr>
          <w:p w:rsidR="00D66F0A" w:rsidRPr="00CF36FD" w:rsidRDefault="00D66F0A" w:rsidP="00D66F0A">
            <w:pPr>
              <w:jc w:val="right"/>
              <w:rPr>
                <w:rFonts w:asciiTheme="majorHAnsi" w:eastAsia="Times New Roman" w:hAnsiTheme="majorHAnsi" w:cstheme="minorHAnsi"/>
                <w:color w:val="FFFFFF"/>
                <w:sz w:val="18"/>
                <w:szCs w:val="18"/>
                <w:lang w:eastAsia="it-IT"/>
              </w:rPr>
            </w:pPr>
            <w:r w:rsidRPr="00CF36FD">
              <w:rPr>
                <w:rFonts w:asciiTheme="majorHAnsi" w:eastAsia="Times New Roman" w:hAnsiTheme="majorHAnsi" w:cstheme="minorHAnsi"/>
                <w:color w:val="FFFFFF"/>
                <w:sz w:val="18"/>
                <w:szCs w:val="18"/>
                <w:lang w:eastAsia="it-IT"/>
              </w:rPr>
              <w:t> </w:t>
            </w:r>
          </w:p>
        </w:tc>
        <w:tc>
          <w:tcPr>
            <w:tcW w:w="1587" w:type="dxa"/>
            <w:tcBorders>
              <w:top w:val="nil"/>
              <w:left w:val="dashed" w:sz="8" w:space="0" w:color="1F497D"/>
              <w:bottom w:val="dashed" w:sz="8" w:space="0" w:color="1F497D"/>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b/>
                <w:bCs/>
                <w:color w:val="1F497D"/>
                <w:sz w:val="18"/>
                <w:szCs w:val="18"/>
                <w:lang w:eastAsia="it-IT"/>
              </w:rPr>
            </w:pPr>
            <w:r w:rsidRPr="00CF36FD">
              <w:rPr>
                <w:rFonts w:asciiTheme="majorHAnsi" w:eastAsia="Times New Roman" w:hAnsiTheme="majorHAnsi" w:cstheme="minorHAnsi"/>
                <w:b/>
                <w:bCs/>
                <w:color w:val="1F497D"/>
                <w:sz w:val="18"/>
                <w:szCs w:val="18"/>
                <w:lang w:eastAsia="it-IT"/>
              </w:rPr>
              <w:t>Souther</w:t>
            </w:r>
            <w:r w:rsidR="00122D97">
              <w:rPr>
                <w:rFonts w:asciiTheme="majorHAnsi" w:eastAsia="Times New Roman" w:hAnsiTheme="majorHAnsi" w:cstheme="minorHAnsi"/>
                <w:b/>
                <w:bCs/>
                <w:color w:val="1F497D"/>
                <w:sz w:val="18"/>
                <w:szCs w:val="18"/>
                <w:lang w:eastAsia="it-IT"/>
              </w:rPr>
              <w:t>n</w:t>
            </w:r>
            <w:r w:rsidRPr="00CF36FD">
              <w:rPr>
                <w:rFonts w:asciiTheme="majorHAnsi" w:eastAsia="Times New Roman" w:hAnsiTheme="majorHAnsi" w:cstheme="minorHAnsi"/>
                <w:b/>
                <w:bCs/>
                <w:color w:val="1F497D"/>
                <w:sz w:val="18"/>
                <w:szCs w:val="18"/>
                <w:lang w:eastAsia="it-IT"/>
              </w:rPr>
              <w:t xml:space="preserve"> Italy</w:t>
            </w:r>
          </w:p>
        </w:tc>
        <w:tc>
          <w:tcPr>
            <w:tcW w:w="1062" w:type="dxa"/>
            <w:tcBorders>
              <w:top w:val="nil"/>
              <w:left w:val="nil"/>
              <w:bottom w:val="dashed" w:sz="8" w:space="0" w:color="1F497D"/>
              <w:right w:val="nil"/>
            </w:tcBorders>
            <w:shd w:val="clear" w:color="auto" w:fill="auto"/>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31,588.0</w:t>
            </w:r>
          </w:p>
        </w:tc>
        <w:tc>
          <w:tcPr>
            <w:tcW w:w="1062" w:type="dxa"/>
            <w:tcBorders>
              <w:top w:val="nil"/>
              <w:left w:val="nil"/>
              <w:bottom w:val="dashed" w:sz="8" w:space="0" w:color="1F497D"/>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34,288.0</w:t>
            </w:r>
          </w:p>
        </w:tc>
        <w:tc>
          <w:tcPr>
            <w:tcW w:w="1176" w:type="dxa"/>
            <w:tcBorders>
              <w:top w:val="nil"/>
              <w:left w:val="nil"/>
              <w:bottom w:val="dashed" w:sz="8" w:space="0" w:color="1F497D"/>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8.5</w:t>
            </w:r>
          </w:p>
        </w:tc>
      </w:tr>
      <w:tr w:rsidR="00D66F0A" w:rsidRPr="00CF36FD" w:rsidTr="00CF36FD">
        <w:trPr>
          <w:trHeight w:val="315"/>
        </w:trPr>
        <w:tc>
          <w:tcPr>
            <w:tcW w:w="1230"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 xml:space="preserve">   Calabria </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299.2</w:t>
            </w:r>
          </w:p>
        </w:tc>
        <w:tc>
          <w:tcPr>
            <w:tcW w:w="959"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337.2</w:t>
            </w:r>
          </w:p>
        </w:tc>
        <w:tc>
          <w:tcPr>
            <w:tcW w:w="1105" w:type="dxa"/>
            <w:tcBorders>
              <w:top w:val="nil"/>
              <w:left w:val="nil"/>
              <w:bottom w:val="nil"/>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12.7</w:t>
            </w:r>
          </w:p>
        </w:tc>
        <w:tc>
          <w:tcPr>
            <w:tcW w:w="256" w:type="dxa"/>
            <w:tcBorders>
              <w:top w:val="nil"/>
              <w:left w:val="nil"/>
              <w:bottom w:val="nil"/>
              <w:right w:val="nil"/>
            </w:tcBorders>
            <w:shd w:val="clear" w:color="000000" w:fill="FFFFFF"/>
            <w:noWrap/>
            <w:vAlign w:val="center"/>
            <w:hideMark/>
          </w:tcPr>
          <w:p w:rsidR="00D66F0A" w:rsidRPr="00CF36FD" w:rsidRDefault="00D66F0A" w:rsidP="00D66F0A">
            <w:pPr>
              <w:jc w:val="right"/>
              <w:rPr>
                <w:rFonts w:asciiTheme="majorHAnsi" w:eastAsia="Times New Roman" w:hAnsiTheme="majorHAnsi" w:cstheme="minorHAnsi"/>
                <w:color w:val="FFFFFF"/>
                <w:sz w:val="18"/>
                <w:szCs w:val="18"/>
                <w:lang w:eastAsia="it-IT"/>
              </w:rPr>
            </w:pPr>
            <w:r w:rsidRPr="00CF36FD">
              <w:rPr>
                <w:rFonts w:asciiTheme="majorHAnsi" w:eastAsia="Times New Roman" w:hAnsiTheme="majorHAnsi" w:cstheme="minorHAnsi"/>
                <w:color w:val="FFFFFF"/>
                <w:sz w:val="18"/>
                <w:szCs w:val="18"/>
                <w:lang w:eastAsia="it-IT"/>
              </w:rPr>
              <w:t> </w:t>
            </w:r>
          </w:p>
        </w:tc>
        <w:tc>
          <w:tcPr>
            <w:tcW w:w="1587" w:type="dxa"/>
            <w:tcBorders>
              <w:top w:val="nil"/>
              <w:left w:val="nil"/>
              <w:bottom w:val="single" w:sz="12" w:space="0" w:color="1F497D"/>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b/>
                <w:color w:val="000000"/>
                <w:sz w:val="18"/>
                <w:szCs w:val="18"/>
                <w:lang w:eastAsia="it-IT"/>
              </w:rPr>
            </w:pPr>
            <w:r w:rsidRPr="00CF36FD">
              <w:rPr>
                <w:rFonts w:asciiTheme="majorHAnsi" w:eastAsia="Times New Roman" w:hAnsiTheme="majorHAnsi" w:cstheme="minorHAnsi"/>
                <w:b/>
                <w:color w:val="000000"/>
                <w:sz w:val="18"/>
                <w:szCs w:val="18"/>
                <w:lang w:eastAsia="it-IT"/>
              </w:rPr>
              <w:t>Italy</w:t>
            </w:r>
          </w:p>
        </w:tc>
        <w:tc>
          <w:tcPr>
            <w:tcW w:w="1062" w:type="dxa"/>
            <w:tcBorders>
              <w:top w:val="nil"/>
              <w:left w:val="nil"/>
              <w:bottom w:val="single" w:sz="12" w:space="0" w:color="1F497D"/>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b/>
                <w:color w:val="000000"/>
                <w:sz w:val="18"/>
                <w:szCs w:val="18"/>
                <w:lang w:eastAsia="it-IT"/>
              </w:rPr>
            </w:pPr>
            <w:r w:rsidRPr="00CF36FD">
              <w:rPr>
                <w:rFonts w:asciiTheme="majorHAnsi" w:eastAsia="Times New Roman" w:hAnsiTheme="majorHAnsi" w:cstheme="minorHAnsi"/>
                <w:b/>
                <w:color w:val="000000"/>
                <w:sz w:val="18"/>
                <w:szCs w:val="18"/>
                <w:lang w:eastAsia="it-IT"/>
              </w:rPr>
              <w:t>308,328.5</w:t>
            </w:r>
          </w:p>
        </w:tc>
        <w:tc>
          <w:tcPr>
            <w:tcW w:w="1062" w:type="dxa"/>
            <w:tcBorders>
              <w:top w:val="nil"/>
              <w:left w:val="nil"/>
              <w:bottom w:val="single" w:sz="12" w:space="0" w:color="1F497D"/>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b/>
                <w:color w:val="000000"/>
                <w:sz w:val="18"/>
                <w:szCs w:val="18"/>
                <w:lang w:eastAsia="it-IT"/>
              </w:rPr>
            </w:pPr>
            <w:r w:rsidRPr="00CF36FD">
              <w:rPr>
                <w:rFonts w:asciiTheme="majorHAnsi" w:eastAsia="Times New Roman" w:hAnsiTheme="majorHAnsi" w:cstheme="minorHAnsi"/>
                <w:b/>
                <w:color w:val="000000"/>
                <w:sz w:val="18"/>
                <w:szCs w:val="18"/>
                <w:lang w:eastAsia="it-IT"/>
              </w:rPr>
              <w:t>330,736.0</w:t>
            </w:r>
          </w:p>
        </w:tc>
        <w:tc>
          <w:tcPr>
            <w:tcW w:w="1176" w:type="dxa"/>
            <w:tcBorders>
              <w:top w:val="nil"/>
              <w:left w:val="nil"/>
              <w:bottom w:val="single" w:sz="12" w:space="0" w:color="1F497D"/>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b/>
                <w:color w:val="000000"/>
                <w:sz w:val="18"/>
                <w:szCs w:val="18"/>
                <w:lang w:eastAsia="it-IT"/>
              </w:rPr>
            </w:pPr>
            <w:r w:rsidRPr="00CF36FD">
              <w:rPr>
                <w:rFonts w:asciiTheme="majorHAnsi" w:eastAsia="Times New Roman" w:hAnsiTheme="majorHAnsi" w:cstheme="minorHAnsi"/>
                <w:b/>
                <w:color w:val="000000"/>
                <w:sz w:val="18"/>
                <w:szCs w:val="18"/>
                <w:lang w:eastAsia="it-IT"/>
              </w:rPr>
              <w:t>7.3</w:t>
            </w:r>
          </w:p>
        </w:tc>
      </w:tr>
      <w:tr w:rsidR="00D66F0A" w:rsidRPr="00CF36FD" w:rsidTr="00CF36FD">
        <w:trPr>
          <w:trHeight w:val="330"/>
        </w:trPr>
        <w:tc>
          <w:tcPr>
            <w:tcW w:w="1230" w:type="dxa"/>
            <w:tcBorders>
              <w:top w:val="nil"/>
              <w:left w:val="nil"/>
              <w:bottom w:val="single" w:sz="8" w:space="0" w:color="A6A6A6"/>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 xml:space="preserve">Cosenza </w:t>
            </w:r>
          </w:p>
        </w:tc>
        <w:tc>
          <w:tcPr>
            <w:tcW w:w="959" w:type="dxa"/>
            <w:tcBorders>
              <w:top w:val="nil"/>
              <w:left w:val="nil"/>
              <w:bottom w:val="single" w:sz="8" w:space="0" w:color="A6A6A6"/>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59.6</w:t>
            </w:r>
          </w:p>
        </w:tc>
        <w:tc>
          <w:tcPr>
            <w:tcW w:w="959" w:type="dxa"/>
            <w:tcBorders>
              <w:top w:val="nil"/>
              <w:left w:val="nil"/>
              <w:bottom w:val="single" w:sz="8" w:space="0" w:color="A6A6A6"/>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70.4</w:t>
            </w:r>
          </w:p>
        </w:tc>
        <w:tc>
          <w:tcPr>
            <w:tcW w:w="1105" w:type="dxa"/>
            <w:tcBorders>
              <w:top w:val="nil"/>
              <w:left w:val="nil"/>
              <w:bottom w:val="single" w:sz="8" w:space="0" w:color="A6A6A6"/>
              <w:right w:val="nil"/>
            </w:tcBorders>
            <w:shd w:val="clear" w:color="auto" w:fill="auto"/>
            <w:noWrap/>
            <w:vAlign w:val="center"/>
            <w:hideMark/>
          </w:tcPr>
          <w:p w:rsidR="00D66F0A" w:rsidRPr="00CF36FD" w:rsidRDefault="00D66F0A" w:rsidP="00D66F0A">
            <w:pPr>
              <w:jc w:val="right"/>
              <w:rPr>
                <w:rFonts w:asciiTheme="majorHAnsi" w:eastAsia="Times New Roman" w:hAnsiTheme="majorHAnsi" w:cstheme="minorHAnsi"/>
                <w:color w:val="000000"/>
                <w:sz w:val="18"/>
                <w:szCs w:val="18"/>
                <w:lang w:eastAsia="it-IT"/>
              </w:rPr>
            </w:pPr>
            <w:r w:rsidRPr="00CF36FD">
              <w:rPr>
                <w:rFonts w:asciiTheme="majorHAnsi" w:eastAsia="Times New Roman" w:hAnsiTheme="majorHAnsi" w:cstheme="minorHAnsi"/>
                <w:color w:val="000000"/>
                <w:sz w:val="18"/>
                <w:szCs w:val="18"/>
                <w:lang w:eastAsia="it-IT"/>
              </w:rPr>
              <w:t>18.1</w:t>
            </w:r>
          </w:p>
        </w:tc>
        <w:tc>
          <w:tcPr>
            <w:tcW w:w="256" w:type="dxa"/>
            <w:tcBorders>
              <w:top w:val="nil"/>
              <w:left w:val="nil"/>
              <w:bottom w:val="nil"/>
              <w:right w:val="nil"/>
            </w:tcBorders>
            <w:shd w:val="clear" w:color="000000" w:fill="FFFFFF"/>
            <w:noWrap/>
            <w:vAlign w:val="center"/>
            <w:hideMark/>
          </w:tcPr>
          <w:p w:rsidR="00D66F0A" w:rsidRPr="00CF36FD" w:rsidRDefault="00D66F0A" w:rsidP="00D66F0A">
            <w:pPr>
              <w:jc w:val="right"/>
              <w:rPr>
                <w:rFonts w:asciiTheme="majorHAnsi" w:eastAsia="Times New Roman" w:hAnsiTheme="majorHAnsi" w:cstheme="minorHAnsi"/>
                <w:color w:val="FFFFFF"/>
                <w:sz w:val="18"/>
                <w:szCs w:val="18"/>
                <w:lang w:eastAsia="it-IT"/>
              </w:rPr>
            </w:pPr>
            <w:r w:rsidRPr="00CF36FD">
              <w:rPr>
                <w:rFonts w:asciiTheme="majorHAnsi" w:eastAsia="Times New Roman" w:hAnsiTheme="majorHAnsi" w:cstheme="minorHAnsi"/>
                <w:color w:val="FFFFFF"/>
                <w:sz w:val="18"/>
                <w:szCs w:val="18"/>
                <w:lang w:eastAsia="it-IT"/>
              </w:rPr>
              <w:t> </w:t>
            </w:r>
          </w:p>
        </w:tc>
        <w:tc>
          <w:tcPr>
            <w:tcW w:w="1587"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p>
        </w:tc>
        <w:tc>
          <w:tcPr>
            <w:tcW w:w="1062"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p>
        </w:tc>
        <w:tc>
          <w:tcPr>
            <w:tcW w:w="1062"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p>
        </w:tc>
        <w:tc>
          <w:tcPr>
            <w:tcW w:w="1176" w:type="dxa"/>
            <w:tcBorders>
              <w:top w:val="nil"/>
              <w:left w:val="nil"/>
              <w:bottom w:val="nil"/>
              <w:right w:val="nil"/>
            </w:tcBorders>
            <w:shd w:val="clear" w:color="auto" w:fill="auto"/>
            <w:vAlign w:val="center"/>
            <w:hideMark/>
          </w:tcPr>
          <w:p w:rsidR="00D66F0A" w:rsidRPr="00CF36FD" w:rsidRDefault="00D66F0A" w:rsidP="00D66F0A">
            <w:pPr>
              <w:jc w:val="left"/>
              <w:rPr>
                <w:rFonts w:asciiTheme="majorHAnsi" w:eastAsia="Times New Roman" w:hAnsiTheme="majorHAnsi" w:cstheme="minorHAnsi"/>
                <w:color w:val="000000"/>
                <w:sz w:val="18"/>
                <w:szCs w:val="18"/>
                <w:lang w:eastAsia="it-IT"/>
              </w:rPr>
            </w:pPr>
          </w:p>
        </w:tc>
      </w:tr>
    </w:tbl>
    <w:p w:rsidR="00D4748D" w:rsidRPr="00D4748D" w:rsidRDefault="00D4748D" w:rsidP="00D4748D">
      <w:pPr>
        <w:spacing w:after="120"/>
        <w:rPr>
          <w:rFonts w:asciiTheme="majorHAnsi" w:hAnsiTheme="majorHAnsi"/>
          <w:sz w:val="18"/>
          <w:szCs w:val="18"/>
          <w:lang w:val="en-US"/>
        </w:rPr>
      </w:pPr>
      <w:r>
        <w:rPr>
          <w:rFonts w:asciiTheme="majorHAnsi" w:hAnsiTheme="majorHAnsi"/>
          <w:sz w:val="18"/>
          <w:szCs w:val="18"/>
          <w:lang w:val="en-US"/>
        </w:rPr>
        <w:t>Source</w:t>
      </w:r>
      <w:r w:rsidRPr="00D4748D">
        <w:rPr>
          <w:rFonts w:asciiTheme="majorHAnsi" w:hAnsiTheme="majorHAnsi"/>
          <w:sz w:val="18"/>
          <w:szCs w:val="18"/>
          <w:lang w:val="en-US"/>
        </w:rPr>
        <w:t xml:space="preserve">: Confindustria and SRM elaborations on </w:t>
      </w:r>
      <w:proofErr w:type="spellStart"/>
      <w:r>
        <w:rPr>
          <w:rFonts w:asciiTheme="majorHAnsi" w:hAnsiTheme="majorHAnsi"/>
          <w:sz w:val="18"/>
          <w:szCs w:val="18"/>
          <w:lang w:val="en-US"/>
        </w:rPr>
        <w:t>Coeweb</w:t>
      </w:r>
      <w:proofErr w:type="spellEnd"/>
      <w:r w:rsidRPr="00D4748D">
        <w:rPr>
          <w:rFonts w:asciiTheme="majorHAnsi" w:hAnsiTheme="majorHAnsi"/>
          <w:sz w:val="18"/>
          <w:szCs w:val="18"/>
          <w:lang w:val="en-US"/>
        </w:rPr>
        <w:t xml:space="preserve"> data</w:t>
      </w:r>
    </w:p>
    <w:p w:rsidR="00234F4D" w:rsidRPr="00B369E8" w:rsidRDefault="00B369E8" w:rsidP="007F4FFE">
      <w:pPr>
        <w:shd w:val="clear" w:color="auto" w:fill="FFFFFF"/>
        <w:spacing w:after="120"/>
        <w:rPr>
          <w:rFonts w:asciiTheme="majorHAnsi" w:hAnsiTheme="majorHAnsi"/>
          <w:b/>
          <w:lang w:val="en-US"/>
        </w:rPr>
      </w:pPr>
      <w:r w:rsidRPr="00B369E8">
        <w:rPr>
          <w:rFonts w:asciiTheme="majorHAnsi" w:hAnsiTheme="majorHAnsi"/>
          <w:b/>
          <w:lang w:val="en-US"/>
        </w:rPr>
        <w:lastRenderedPageBreak/>
        <w:t xml:space="preserve">Manufacturing export of the </w:t>
      </w:r>
      <w:proofErr w:type="spellStart"/>
      <w:r w:rsidRPr="00B369E8">
        <w:rPr>
          <w:rFonts w:asciiTheme="majorHAnsi" w:hAnsiTheme="majorHAnsi"/>
          <w:b/>
          <w:lang w:val="en-US"/>
        </w:rPr>
        <w:t>Mezzogiorno</w:t>
      </w:r>
      <w:proofErr w:type="spellEnd"/>
      <w:r w:rsidRPr="00B369E8">
        <w:rPr>
          <w:rFonts w:asciiTheme="majorHAnsi" w:hAnsiTheme="majorHAnsi"/>
          <w:b/>
          <w:lang w:val="en-US"/>
        </w:rPr>
        <w:t xml:space="preserve"> by sector: III trimester 2017 (values in billions of euro and percentage variation)</w:t>
      </w:r>
    </w:p>
    <w:tbl>
      <w:tblPr>
        <w:tblW w:w="5000" w:type="pct"/>
        <w:tblCellMar>
          <w:left w:w="70" w:type="dxa"/>
          <w:right w:w="70" w:type="dxa"/>
        </w:tblCellMar>
        <w:tblLook w:val="04A0" w:firstRow="1" w:lastRow="0" w:firstColumn="1" w:lastColumn="0" w:noHBand="0" w:noVBand="1"/>
      </w:tblPr>
      <w:tblGrid>
        <w:gridCol w:w="6260"/>
        <w:gridCol w:w="591"/>
        <w:gridCol w:w="1126"/>
        <w:gridCol w:w="688"/>
        <w:gridCol w:w="1113"/>
      </w:tblGrid>
      <w:tr w:rsidR="00D66F0A" w:rsidRPr="00F618D8" w:rsidTr="00D4748D">
        <w:trPr>
          <w:trHeight w:val="300"/>
        </w:trPr>
        <w:tc>
          <w:tcPr>
            <w:tcW w:w="3201" w:type="pct"/>
            <w:vMerge w:val="restart"/>
            <w:tcBorders>
              <w:top w:val="nil"/>
              <w:left w:val="nil"/>
              <w:bottom w:val="nil"/>
              <w:right w:val="nil"/>
            </w:tcBorders>
            <w:shd w:val="clear" w:color="000000" w:fill="4F6228"/>
            <w:vAlign w:val="center"/>
            <w:hideMark/>
          </w:tcPr>
          <w:p w:rsidR="00D66F0A" w:rsidRPr="00D66F0A" w:rsidRDefault="00D66F0A" w:rsidP="00D66F0A">
            <w:pPr>
              <w:jc w:val="left"/>
              <w:rPr>
                <w:rFonts w:eastAsia="Times New Roman" w:cs="Calibri"/>
                <w:color w:val="FFFFFF"/>
                <w:sz w:val="16"/>
                <w:szCs w:val="16"/>
                <w:lang w:eastAsia="it-IT"/>
              </w:rPr>
            </w:pPr>
            <w:r w:rsidRPr="00D66F0A">
              <w:rPr>
                <w:rFonts w:eastAsia="Times New Roman" w:cs="Calibri"/>
                <w:color w:val="FFFFFF"/>
                <w:sz w:val="16"/>
                <w:szCs w:val="16"/>
                <w:lang w:eastAsia="it-IT"/>
              </w:rPr>
              <w:t>SECTOR</w:t>
            </w:r>
          </w:p>
        </w:tc>
        <w:tc>
          <w:tcPr>
            <w:tcW w:w="302" w:type="pct"/>
            <w:tcBorders>
              <w:top w:val="nil"/>
              <w:left w:val="nil"/>
              <w:bottom w:val="nil"/>
              <w:right w:val="nil"/>
            </w:tcBorders>
            <w:shd w:val="clear" w:color="000000" w:fill="4F6228"/>
            <w:vAlign w:val="center"/>
            <w:hideMark/>
          </w:tcPr>
          <w:p w:rsidR="00D66F0A" w:rsidRPr="00D66F0A" w:rsidRDefault="00D66F0A" w:rsidP="00D66F0A">
            <w:pPr>
              <w:jc w:val="center"/>
              <w:rPr>
                <w:rFonts w:eastAsia="Times New Roman" w:cs="Calibri"/>
                <w:color w:val="FFFFFF"/>
                <w:sz w:val="16"/>
                <w:szCs w:val="16"/>
                <w:lang w:eastAsia="it-IT"/>
              </w:rPr>
            </w:pPr>
            <w:r w:rsidRPr="00D66F0A">
              <w:rPr>
                <w:rFonts w:eastAsia="Times New Roman" w:cs="Calibri"/>
                <w:color w:val="FFFFFF"/>
                <w:sz w:val="16"/>
                <w:szCs w:val="16"/>
                <w:lang w:eastAsia="it-IT"/>
              </w:rPr>
              <w:t>III Q 2017</w:t>
            </w:r>
          </w:p>
        </w:tc>
        <w:tc>
          <w:tcPr>
            <w:tcW w:w="576" w:type="pct"/>
            <w:tcBorders>
              <w:top w:val="nil"/>
              <w:left w:val="nil"/>
              <w:bottom w:val="nil"/>
              <w:right w:val="nil"/>
            </w:tcBorders>
            <w:shd w:val="clear" w:color="000000" w:fill="4F6228"/>
            <w:vAlign w:val="center"/>
            <w:hideMark/>
          </w:tcPr>
          <w:p w:rsidR="00D66F0A" w:rsidRPr="00557122" w:rsidRDefault="00D66F0A" w:rsidP="00D66F0A">
            <w:pPr>
              <w:jc w:val="center"/>
              <w:rPr>
                <w:rFonts w:eastAsia="Times New Roman" w:cs="Calibri"/>
                <w:color w:val="FFFFFF"/>
                <w:sz w:val="16"/>
                <w:szCs w:val="16"/>
                <w:lang w:val="fr-FR" w:eastAsia="it-IT"/>
              </w:rPr>
            </w:pPr>
            <w:r w:rsidRPr="00557122">
              <w:rPr>
                <w:rFonts w:eastAsia="Times New Roman" w:cs="Calibri"/>
                <w:color w:val="FFFFFF"/>
                <w:sz w:val="16"/>
                <w:szCs w:val="16"/>
                <w:lang w:val="fr-FR" w:eastAsia="it-IT"/>
              </w:rPr>
              <w:t>Var. % III Q '16/III Q '17</w:t>
            </w:r>
          </w:p>
        </w:tc>
        <w:tc>
          <w:tcPr>
            <w:tcW w:w="352" w:type="pct"/>
            <w:tcBorders>
              <w:top w:val="nil"/>
              <w:left w:val="nil"/>
              <w:bottom w:val="nil"/>
              <w:right w:val="nil"/>
            </w:tcBorders>
            <w:shd w:val="clear" w:color="000000" w:fill="4F6228"/>
            <w:vAlign w:val="center"/>
            <w:hideMark/>
          </w:tcPr>
          <w:p w:rsidR="00D66F0A" w:rsidRPr="00D66F0A" w:rsidRDefault="00D66F0A" w:rsidP="00D66F0A">
            <w:pPr>
              <w:jc w:val="center"/>
              <w:rPr>
                <w:rFonts w:eastAsia="Times New Roman" w:cs="Calibri"/>
                <w:color w:val="FFFFFF"/>
                <w:sz w:val="16"/>
                <w:szCs w:val="16"/>
                <w:lang w:eastAsia="it-IT"/>
              </w:rPr>
            </w:pPr>
            <w:r w:rsidRPr="00D66F0A">
              <w:rPr>
                <w:rFonts w:eastAsia="Times New Roman" w:cs="Calibri"/>
                <w:color w:val="FFFFFF"/>
                <w:sz w:val="16"/>
                <w:szCs w:val="16"/>
                <w:lang w:eastAsia="it-IT"/>
              </w:rPr>
              <w:t>III Q 2017</w:t>
            </w:r>
          </w:p>
        </w:tc>
        <w:tc>
          <w:tcPr>
            <w:tcW w:w="569" w:type="pct"/>
            <w:tcBorders>
              <w:top w:val="nil"/>
              <w:left w:val="nil"/>
              <w:bottom w:val="nil"/>
              <w:right w:val="nil"/>
            </w:tcBorders>
            <w:shd w:val="clear" w:color="000000" w:fill="4F6228"/>
            <w:vAlign w:val="center"/>
            <w:hideMark/>
          </w:tcPr>
          <w:p w:rsidR="00D66F0A" w:rsidRPr="00557122" w:rsidRDefault="00D66F0A" w:rsidP="00D66F0A">
            <w:pPr>
              <w:jc w:val="center"/>
              <w:rPr>
                <w:rFonts w:eastAsia="Times New Roman" w:cs="Calibri"/>
                <w:color w:val="FFFFFF"/>
                <w:sz w:val="16"/>
                <w:szCs w:val="16"/>
                <w:lang w:val="fr-FR" w:eastAsia="it-IT"/>
              </w:rPr>
            </w:pPr>
            <w:r w:rsidRPr="00557122">
              <w:rPr>
                <w:rFonts w:eastAsia="Times New Roman" w:cs="Calibri"/>
                <w:color w:val="FFFFFF"/>
                <w:sz w:val="16"/>
                <w:szCs w:val="16"/>
                <w:lang w:val="fr-FR" w:eastAsia="it-IT"/>
              </w:rPr>
              <w:t>Var. % III Q '16/III Q '17</w:t>
            </w:r>
          </w:p>
        </w:tc>
      </w:tr>
      <w:tr w:rsidR="00D66F0A" w:rsidRPr="00D66F0A" w:rsidTr="00D4748D">
        <w:trPr>
          <w:trHeight w:val="300"/>
        </w:trPr>
        <w:tc>
          <w:tcPr>
            <w:tcW w:w="3201" w:type="pct"/>
            <w:vMerge/>
            <w:tcBorders>
              <w:top w:val="nil"/>
              <w:left w:val="nil"/>
              <w:bottom w:val="nil"/>
              <w:right w:val="nil"/>
            </w:tcBorders>
            <w:vAlign w:val="center"/>
            <w:hideMark/>
          </w:tcPr>
          <w:p w:rsidR="00D66F0A" w:rsidRPr="00557122" w:rsidRDefault="00D66F0A" w:rsidP="00D66F0A">
            <w:pPr>
              <w:jc w:val="left"/>
              <w:rPr>
                <w:rFonts w:eastAsia="Times New Roman" w:cs="Calibri"/>
                <w:color w:val="FFFFFF"/>
                <w:sz w:val="16"/>
                <w:szCs w:val="16"/>
                <w:lang w:val="fr-FR" w:eastAsia="it-IT"/>
              </w:rPr>
            </w:pPr>
          </w:p>
        </w:tc>
        <w:tc>
          <w:tcPr>
            <w:tcW w:w="878" w:type="pct"/>
            <w:gridSpan w:val="2"/>
            <w:tcBorders>
              <w:top w:val="nil"/>
              <w:left w:val="nil"/>
              <w:bottom w:val="nil"/>
              <w:right w:val="nil"/>
            </w:tcBorders>
            <w:shd w:val="clear" w:color="000000" w:fill="4F6228"/>
            <w:vAlign w:val="center"/>
            <w:hideMark/>
          </w:tcPr>
          <w:p w:rsidR="00D66F0A" w:rsidRPr="00D66F0A" w:rsidRDefault="00D66F0A" w:rsidP="00D66F0A">
            <w:pPr>
              <w:jc w:val="center"/>
              <w:rPr>
                <w:rFonts w:eastAsia="Times New Roman" w:cs="Calibri"/>
                <w:b/>
                <w:bCs/>
                <w:color w:val="FFFFFF"/>
                <w:sz w:val="16"/>
                <w:szCs w:val="16"/>
                <w:lang w:eastAsia="it-IT"/>
              </w:rPr>
            </w:pPr>
            <w:r w:rsidRPr="00D66F0A">
              <w:rPr>
                <w:rFonts w:eastAsia="Times New Roman" w:cs="Calibri"/>
                <w:b/>
                <w:bCs/>
                <w:color w:val="FFFFFF"/>
                <w:sz w:val="16"/>
                <w:szCs w:val="16"/>
                <w:lang w:eastAsia="it-IT"/>
              </w:rPr>
              <w:t>Southern Italy</w:t>
            </w:r>
          </w:p>
        </w:tc>
        <w:tc>
          <w:tcPr>
            <w:tcW w:w="921" w:type="pct"/>
            <w:gridSpan w:val="2"/>
            <w:tcBorders>
              <w:top w:val="nil"/>
              <w:left w:val="nil"/>
              <w:bottom w:val="nil"/>
              <w:right w:val="nil"/>
            </w:tcBorders>
            <w:shd w:val="clear" w:color="000000" w:fill="4F6228"/>
            <w:vAlign w:val="center"/>
            <w:hideMark/>
          </w:tcPr>
          <w:p w:rsidR="00D66F0A" w:rsidRPr="00D66F0A" w:rsidRDefault="00D66F0A" w:rsidP="00D66F0A">
            <w:pPr>
              <w:jc w:val="center"/>
              <w:rPr>
                <w:rFonts w:eastAsia="Times New Roman" w:cs="Calibri"/>
                <w:color w:val="FFFFFF"/>
                <w:sz w:val="16"/>
                <w:szCs w:val="16"/>
                <w:lang w:eastAsia="it-IT"/>
              </w:rPr>
            </w:pPr>
            <w:r w:rsidRPr="00D66F0A">
              <w:rPr>
                <w:rFonts w:eastAsia="Times New Roman" w:cs="Calibri"/>
                <w:color w:val="FFFFFF"/>
                <w:sz w:val="16"/>
                <w:szCs w:val="16"/>
                <w:lang w:eastAsia="it-IT"/>
              </w:rPr>
              <w:t>Center-</w:t>
            </w:r>
            <w:proofErr w:type="spellStart"/>
            <w:r w:rsidRPr="00D66F0A">
              <w:rPr>
                <w:rFonts w:eastAsia="Times New Roman" w:cs="Calibri"/>
                <w:color w:val="FFFFFF"/>
                <w:sz w:val="16"/>
                <w:szCs w:val="16"/>
                <w:lang w:eastAsia="it-IT"/>
              </w:rPr>
              <w:t>Northern</w:t>
            </w:r>
            <w:proofErr w:type="spellEnd"/>
            <w:r w:rsidRPr="00D66F0A">
              <w:rPr>
                <w:rFonts w:eastAsia="Times New Roman" w:cs="Calibri"/>
                <w:color w:val="FFFFFF"/>
                <w:sz w:val="16"/>
                <w:szCs w:val="16"/>
                <w:lang w:eastAsia="it-IT"/>
              </w:rPr>
              <w:t xml:space="preserve"> Italy</w:t>
            </w:r>
          </w:p>
        </w:tc>
      </w:tr>
      <w:tr w:rsidR="00D66F0A" w:rsidRPr="00D66F0A" w:rsidTr="00C33F57">
        <w:trPr>
          <w:trHeight w:val="300"/>
        </w:trPr>
        <w:tc>
          <w:tcPr>
            <w:tcW w:w="3201" w:type="pct"/>
            <w:tcBorders>
              <w:top w:val="nil"/>
              <w:left w:val="nil"/>
              <w:bottom w:val="nil"/>
              <w:right w:val="dashed" w:sz="8" w:space="0" w:color="76933C"/>
            </w:tcBorders>
            <w:shd w:val="clear" w:color="auto" w:fill="auto"/>
            <w:noWrap/>
            <w:vAlign w:val="center"/>
            <w:hideMark/>
          </w:tcPr>
          <w:p w:rsidR="00D66F0A" w:rsidRPr="00D66F0A" w:rsidRDefault="00D66F0A" w:rsidP="00D66F0A">
            <w:pPr>
              <w:jc w:val="left"/>
              <w:rPr>
                <w:rFonts w:eastAsia="Times New Roman" w:cs="Calibri"/>
                <w:color w:val="000000"/>
                <w:sz w:val="16"/>
                <w:szCs w:val="16"/>
                <w:lang w:val="en-US" w:eastAsia="it-IT"/>
              </w:rPr>
            </w:pPr>
            <w:r w:rsidRPr="00D66F0A">
              <w:rPr>
                <w:rFonts w:eastAsia="Times New Roman" w:cs="Calibri"/>
                <w:color w:val="000000"/>
                <w:sz w:val="16"/>
                <w:szCs w:val="16"/>
                <w:lang w:val="en-US" w:eastAsia="it-IT"/>
              </w:rPr>
              <w:t>Manufacture of food, beverages and tobacco</w:t>
            </w:r>
          </w:p>
        </w:tc>
        <w:tc>
          <w:tcPr>
            <w:tcW w:w="302" w:type="pct"/>
            <w:tcBorders>
              <w:top w:val="nil"/>
              <w:left w:val="nil"/>
              <w:bottom w:val="nil"/>
              <w:right w:val="nil"/>
            </w:tcBorders>
            <w:shd w:val="clear" w:color="auto" w:fill="auto"/>
            <w:noWrap/>
            <w:vAlign w:val="center"/>
            <w:hideMark/>
          </w:tcPr>
          <w:p w:rsidR="00D66F0A" w:rsidRPr="00D66F0A" w:rsidRDefault="00D66F0A" w:rsidP="00C33F57">
            <w:pPr>
              <w:jc w:val="right"/>
              <w:rPr>
                <w:rFonts w:eastAsia="Times New Roman" w:cs="Calibri"/>
                <w:b/>
                <w:bCs/>
                <w:color w:val="4F6228"/>
                <w:sz w:val="16"/>
                <w:szCs w:val="16"/>
                <w:lang w:eastAsia="it-IT"/>
              </w:rPr>
            </w:pPr>
            <w:r w:rsidRPr="00D66F0A">
              <w:rPr>
                <w:rFonts w:eastAsia="Times New Roman" w:cs="Calibri"/>
                <w:b/>
                <w:bCs/>
                <w:color w:val="4F6228"/>
                <w:sz w:val="16"/>
                <w:szCs w:val="16"/>
                <w:lang w:eastAsia="it-IT"/>
              </w:rPr>
              <w:t>3.7</w:t>
            </w:r>
          </w:p>
        </w:tc>
        <w:tc>
          <w:tcPr>
            <w:tcW w:w="576" w:type="pct"/>
            <w:tcBorders>
              <w:top w:val="nil"/>
              <w:left w:val="nil"/>
              <w:bottom w:val="nil"/>
              <w:right w:val="nil"/>
            </w:tcBorders>
            <w:shd w:val="clear" w:color="auto" w:fill="auto"/>
            <w:noWrap/>
            <w:vAlign w:val="center"/>
            <w:hideMark/>
          </w:tcPr>
          <w:p w:rsidR="00D66F0A" w:rsidRPr="00D66F0A" w:rsidRDefault="00D66F0A" w:rsidP="00C33F57">
            <w:pPr>
              <w:jc w:val="right"/>
              <w:rPr>
                <w:rFonts w:eastAsia="Times New Roman" w:cs="Calibri"/>
                <w:b/>
                <w:bCs/>
                <w:color w:val="4F6228"/>
                <w:sz w:val="16"/>
                <w:szCs w:val="16"/>
                <w:lang w:eastAsia="it-IT"/>
              </w:rPr>
            </w:pPr>
            <w:r w:rsidRPr="00D66F0A">
              <w:rPr>
                <w:rFonts w:eastAsia="Times New Roman" w:cs="Calibri"/>
                <w:b/>
                <w:bCs/>
                <w:color w:val="4F6228"/>
                <w:sz w:val="16"/>
                <w:szCs w:val="16"/>
                <w:lang w:eastAsia="it-IT"/>
              </w:rPr>
              <w:t>0.8</w:t>
            </w:r>
          </w:p>
        </w:tc>
        <w:tc>
          <w:tcPr>
            <w:tcW w:w="352" w:type="pct"/>
            <w:tcBorders>
              <w:top w:val="nil"/>
              <w:left w:val="dashed" w:sz="8" w:space="0" w:color="76933C"/>
              <w:bottom w:val="nil"/>
              <w:right w:val="nil"/>
            </w:tcBorders>
            <w:shd w:val="clear" w:color="auto" w:fill="auto"/>
            <w:noWrap/>
            <w:vAlign w:val="center"/>
            <w:hideMark/>
          </w:tcPr>
          <w:p w:rsidR="00D66F0A" w:rsidRPr="00D66F0A" w:rsidRDefault="00D66F0A" w:rsidP="00C33F57">
            <w:pPr>
              <w:jc w:val="right"/>
              <w:rPr>
                <w:rFonts w:eastAsia="Times New Roman" w:cs="Calibri"/>
                <w:color w:val="000000"/>
                <w:sz w:val="16"/>
                <w:szCs w:val="16"/>
                <w:lang w:eastAsia="it-IT"/>
              </w:rPr>
            </w:pPr>
            <w:r w:rsidRPr="00D66F0A">
              <w:rPr>
                <w:rFonts w:eastAsia="Times New Roman" w:cs="Calibri"/>
                <w:color w:val="000000"/>
                <w:sz w:val="16"/>
                <w:szCs w:val="16"/>
                <w:lang w:eastAsia="it-IT"/>
              </w:rPr>
              <w:t>24.7</w:t>
            </w:r>
          </w:p>
        </w:tc>
        <w:tc>
          <w:tcPr>
            <w:tcW w:w="569" w:type="pct"/>
            <w:tcBorders>
              <w:top w:val="nil"/>
              <w:left w:val="nil"/>
              <w:bottom w:val="nil"/>
              <w:right w:val="nil"/>
            </w:tcBorders>
            <w:shd w:val="clear" w:color="auto" w:fill="auto"/>
            <w:noWrap/>
            <w:vAlign w:val="center"/>
            <w:hideMark/>
          </w:tcPr>
          <w:p w:rsidR="00D66F0A" w:rsidRPr="00D66F0A" w:rsidRDefault="00D66F0A" w:rsidP="00C33F57">
            <w:pPr>
              <w:jc w:val="right"/>
              <w:rPr>
                <w:rFonts w:eastAsia="Times New Roman" w:cs="Calibri"/>
                <w:color w:val="000000"/>
                <w:sz w:val="16"/>
                <w:szCs w:val="16"/>
                <w:lang w:eastAsia="it-IT"/>
              </w:rPr>
            </w:pPr>
            <w:r w:rsidRPr="00D66F0A">
              <w:rPr>
                <w:rFonts w:eastAsia="Times New Roman" w:cs="Calibri"/>
                <w:color w:val="000000"/>
                <w:sz w:val="16"/>
                <w:szCs w:val="16"/>
                <w:lang w:eastAsia="it-IT"/>
              </w:rPr>
              <w:t>7.1</w:t>
            </w:r>
          </w:p>
        </w:tc>
      </w:tr>
      <w:tr w:rsidR="00D66F0A" w:rsidRPr="00D66F0A" w:rsidTr="00C33F57">
        <w:trPr>
          <w:trHeight w:val="300"/>
        </w:trPr>
        <w:tc>
          <w:tcPr>
            <w:tcW w:w="3201" w:type="pct"/>
            <w:tcBorders>
              <w:top w:val="nil"/>
              <w:left w:val="nil"/>
              <w:bottom w:val="nil"/>
              <w:right w:val="dashed" w:sz="8" w:space="0" w:color="76933C"/>
            </w:tcBorders>
            <w:shd w:val="clear" w:color="auto" w:fill="auto"/>
            <w:noWrap/>
            <w:vAlign w:val="center"/>
            <w:hideMark/>
          </w:tcPr>
          <w:p w:rsidR="00D66F0A" w:rsidRPr="00D66F0A" w:rsidRDefault="00D66F0A" w:rsidP="00D66F0A">
            <w:pPr>
              <w:jc w:val="left"/>
              <w:rPr>
                <w:rFonts w:eastAsia="Times New Roman" w:cs="Calibri"/>
                <w:color w:val="000000"/>
                <w:sz w:val="16"/>
                <w:szCs w:val="16"/>
                <w:lang w:val="en-US" w:eastAsia="it-IT"/>
              </w:rPr>
            </w:pPr>
            <w:r w:rsidRPr="00D66F0A">
              <w:rPr>
                <w:rFonts w:eastAsia="Times New Roman" w:cs="Calibri"/>
                <w:color w:val="000000"/>
                <w:sz w:val="16"/>
                <w:szCs w:val="16"/>
                <w:lang w:val="en-US" w:eastAsia="it-IT"/>
              </w:rPr>
              <w:t>Manufacture of textiles, wearing apparel, leather and related products</w:t>
            </w:r>
          </w:p>
        </w:tc>
        <w:tc>
          <w:tcPr>
            <w:tcW w:w="302" w:type="pct"/>
            <w:tcBorders>
              <w:top w:val="nil"/>
              <w:left w:val="nil"/>
              <w:bottom w:val="nil"/>
              <w:right w:val="nil"/>
            </w:tcBorders>
            <w:shd w:val="clear" w:color="auto" w:fill="auto"/>
            <w:noWrap/>
            <w:vAlign w:val="center"/>
            <w:hideMark/>
          </w:tcPr>
          <w:p w:rsidR="00D66F0A" w:rsidRPr="00D66F0A" w:rsidRDefault="00D66F0A" w:rsidP="00C33F57">
            <w:pPr>
              <w:jc w:val="right"/>
              <w:rPr>
                <w:rFonts w:eastAsia="Times New Roman" w:cs="Calibri"/>
                <w:b/>
                <w:bCs/>
                <w:color w:val="4F6228"/>
                <w:sz w:val="16"/>
                <w:szCs w:val="16"/>
                <w:lang w:eastAsia="it-IT"/>
              </w:rPr>
            </w:pPr>
            <w:r w:rsidRPr="00D66F0A">
              <w:rPr>
                <w:rFonts w:eastAsia="Times New Roman" w:cs="Calibri"/>
                <w:b/>
                <w:bCs/>
                <w:color w:val="4F6228"/>
                <w:sz w:val="16"/>
                <w:szCs w:val="16"/>
                <w:lang w:eastAsia="it-IT"/>
              </w:rPr>
              <w:t>1.8</w:t>
            </w:r>
          </w:p>
        </w:tc>
        <w:tc>
          <w:tcPr>
            <w:tcW w:w="576" w:type="pct"/>
            <w:tcBorders>
              <w:top w:val="nil"/>
              <w:left w:val="nil"/>
              <w:bottom w:val="nil"/>
              <w:right w:val="nil"/>
            </w:tcBorders>
            <w:shd w:val="clear" w:color="auto" w:fill="auto"/>
            <w:noWrap/>
            <w:vAlign w:val="center"/>
            <w:hideMark/>
          </w:tcPr>
          <w:p w:rsidR="00D66F0A" w:rsidRPr="00D66F0A" w:rsidRDefault="00D66F0A" w:rsidP="00C33F57">
            <w:pPr>
              <w:jc w:val="right"/>
              <w:rPr>
                <w:rFonts w:eastAsia="Times New Roman" w:cs="Calibri"/>
                <w:b/>
                <w:bCs/>
                <w:color w:val="4F6228"/>
                <w:sz w:val="16"/>
                <w:szCs w:val="16"/>
                <w:lang w:eastAsia="it-IT"/>
              </w:rPr>
            </w:pPr>
            <w:r w:rsidRPr="00D66F0A">
              <w:rPr>
                <w:rFonts w:eastAsia="Times New Roman" w:cs="Calibri"/>
                <w:b/>
                <w:bCs/>
                <w:color w:val="4F6228"/>
                <w:sz w:val="16"/>
                <w:szCs w:val="16"/>
                <w:lang w:eastAsia="it-IT"/>
              </w:rPr>
              <w:t>2.7</w:t>
            </w:r>
          </w:p>
        </w:tc>
        <w:tc>
          <w:tcPr>
            <w:tcW w:w="352" w:type="pct"/>
            <w:tcBorders>
              <w:top w:val="nil"/>
              <w:left w:val="dashed" w:sz="8" w:space="0" w:color="76933C"/>
              <w:bottom w:val="nil"/>
              <w:right w:val="nil"/>
            </w:tcBorders>
            <w:shd w:val="clear" w:color="auto" w:fill="auto"/>
            <w:noWrap/>
            <w:vAlign w:val="center"/>
            <w:hideMark/>
          </w:tcPr>
          <w:p w:rsidR="00D66F0A" w:rsidRPr="00D66F0A" w:rsidRDefault="00D66F0A" w:rsidP="00C33F57">
            <w:pPr>
              <w:jc w:val="right"/>
              <w:rPr>
                <w:rFonts w:eastAsia="Times New Roman" w:cs="Calibri"/>
                <w:color w:val="000000"/>
                <w:sz w:val="16"/>
                <w:szCs w:val="16"/>
                <w:lang w:eastAsia="it-IT"/>
              </w:rPr>
            </w:pPr>
            <w:r w:rsidRPr="00D66F0A">
              <w:rPr>
                <w:rFonts w:eastAsia="Times New Roman" w:cs="Calibri"/>
                <w:color w:val="000000"/>
                <w:sz w:val="16"/>
                <w:szCs w:val="16"/>
                <w:lang w:eastAsia="it-IT"/>
              </w:rPr>
              <w:t>38.2</w:t>
            </w:r>
          </w:p>
        </w:tc>
        <w:tc>
          <w:tcPr>
            <w:tcW w:w="569" w:type="pct"/>
            <w:tcBorders>
              <w:top w:val="nil"/>
              <w:left w:val="nil"/>
              <w:bottom w:val="nil"/>
              <w:right w:val="nil"/>
            </w:tcBorders>
            <w:shd w:val="clear" w:color="auto" w:fill="auto"/>
            <w:noWrap/>
            <w:vAlign w:val="center"/>
            <w:hideMark/>
          </w:tcPr>
          <w:p w:rsidR="00D66F0A" w:rsidRPr="00D66F0A" w:rsidRDefault="00D66F0A" w:rsidP="00C33F57">
            <w:pPr>
              <w:jc w:val="right"/>
              <w:rPr>
                <w:rFonts w:eastAsia="Times New Roman" w:cs="Calibri"/>
                <w:color w:val="000000"/>
                <w:sz w:val="16"/>
                <w:szCs w:val="16"/>
                <w:lang w:eastAsia="it-IT"/>
              </w:rPr>
            </w:pPr>
            <w:r w:rsidRPr="00D66F0A">
              <w:rPr>
                <w:rFonts w:eastAsia="Times New Roman" w:cs="Calibri"/>
                <w:color w:val="000000"/>
                <w:sz w:val="16"/>
                <w:szCs w:val="16"/>
                <w:lang w:eastAsia="it-IT"/>
              </w:rPr>
              <w:t>3.8</w:t>
            </w:r>
          </w:p>
        </w:tc>
      </w:tr>
      <w:tr w:rsidR="00D66F0A" w:rsidRPr="00D66F0A" w:rsidTr="00C33F57">
        <w:trPr>
          <w:trHeight w:val="300"/>
        </w:trPr>
        <w:tc>
          <w:tcPr>
            <w:tcW w:w="3201" w:type="pct"/>
            <w:tcBorders>
              <w:top w:val="nil"/>
              <w:left w:val="nil"/>
              <w:bottom w:val="nil"/>
              <w:right w:val="dashed" w:sz="8" w:space="0" w:color="76933C"/>
            </w:tcBorders>
            <w:shd w:val="clear" w:color="auto" w:fill="auto"/>
            <w:noWrap/>
            <w:vAlign w:val="center"/>
            <w:hideMark/>
          </w:tcPr>
          <w:p w:rsidR="00D66F0A" w:rsidRPr="00D66F0A" w:rsidRDefault="00D66F0A" w:rsidP="00D66F0A">
            <w:pPr>
              <w:jc w:val="left"/>
              <w:rPr>
                <w:rFonts w:eastAsia="Times New Roman" w:cs="Calibri"/>
                <w:color w:val="000000"/>
                <w:sz w:val="16"/>
                <w:szCs w:val="16"/>
                <w:lang w:val="en-US" w:eastAsia="it-IT"/>
              </w:rPr>
            </w:pPr>
            <w:r w:rsidRPr="00D66F0A">
              <w:rPr>
                <w:rFonts w:eastAsia="Times New Roman" w:cs="Calibri"/>
                <w:color w:val="000000"/>
                <w:sz w:val="16"/>
                <w:szCs w:val="16"/>
                <w:lang w:val="en-US" w:eastAsia="it-IT"/>
              </w:rPr>
              <w:t>Manufacture of wood, paper, printing and reproduction</w:t>
            </w:r>
          </w:p>
        </w:tc>
        <w:tc>
          <w:tcPr>
            <w:tcW w:w="302" w:type="pct"/>
            <w:tcBorders>
              <w:top w:val="nil"/>
              <w:left w:val="nil"/>
              <w:bottom w:val="nil"/>
              <w:right w:val="nil"/>
            </w:tcBorders>
            <w:shd w:val="clear" w:color="auto" w:fill="auto"/>
            <w:noWrap/>
            <w:vAlign w:val="center"/>
            <w:hideMark/>
          </w:tcPr>
          <w:p w:rsidR="00D66F0A" w:rsidRPr="00D66F0A" w:rsidRDefault="00D66F0A" w:rsidP="00C33F57">
            <w:pPr>
              <w:jc w:val="right"/>
              <w:rPr>
                <w:rFonts w:eastAsia="Times New Roman" w:cs="Calibri"/>
                <w:b/>
                <w:bCs/>
                <w:color w:val="4F6228"/>
                <w:sz w:val="16"/>
                <w:szCs w:val="16"/>
                <w:lang w:eastAsia="it-IT"/>
              </w:rPr>
            </w:pPr>
            <w:r w:rsidRPr="00D66F0A">
              <w:rPr>
                <w:rFonts w:eastAsia="Times New Roman" w:cs="Calibri"/>
                <w:b/>
                <w:bCs/>
                <w:color w:val="4F6228"/>
                <w:sz w:val="16"/>
                <w:szCs w:val="16"/>
                <w:lang w:eastAsia="it-IT"/>
              </w:rPr>
              <w:t>0.3</w:t>
            </w:r>
          </w:p>
        </w:tc>
        <w:tc>
          <w:tcPr>
            <w:tcW w:w="576" w:type="pct"/>
            <w:tcBorders>
              <w:top w:val="nil"/>
              <w:left w:val="nil"/>
              <w:bottom w:val="nil"/>
              <w:right w:val="nil"/>
            </w:tcBorders>
            <w:shd w:val="clear" w:color="auto" w:fill="auto"/>
            <w:noWrap/>
            <w:vAlign w:val="center"/>
            <w:hideMark/>
          </w:tcPr>
          <w:p w:rsidR="00D66F0A" w:rsidRPr="00D66F0A" w:rsidRDefault="00D66F0A" w:rsidP="00C33F57">
            <w:pPr>
              <w:jc w:val="right"/>
              <w:rPr>
                <w:rFonts w:eastAsia="Times New Roman" w:cs="Calibri"/>
                <w:b/>
                <w:bCs/>
                <w:color w:val="4F6228"/>
                <w:sz w:val="16"/>
                <w:szCs w:val="16"/>
                <w:lang w:eastAsia="it-IT"/>
              </w:rPr>
            </w:pPr>
            <w:r w:rsidRPr="00D66F0A">
              <w:rPr>
                <w:rFonts w:eastAsia="Times New Roman" w:cs="Calibri"/>
                <w:b/>
                <w:bCs/>
                <w:color w:val="4F6228"/>
                <w:sz w:val="16"/>
                <w:szCs w:val="16"/>
                <w:lang w:eastAsia="it-IT"/>
              </w:rPr>
              <w:t>6.2</w:t>
            </w:r>
          </w:p>
        </w:tc>
        <w:tc>
          <w:tcPr>
            <w:tcW w:w="352" w:type="pct"/>
            <w:tcBorders>
              <w:top w:val="nil"/>
              <w:left w:val="dashed" w:sz="8" w:space="0" w:color="76933C"/>
              <w:bottom w:val="nil"/>
              <w:right w:val="nil"/>
            </w:tcBorders>
            <w:shd w:val="clear" w:color="auto" w:fill="auto"/>
            <w:noWrap/>
            <w:vAlign w:val="center"/>
            <w:hideMark/>
          </w:tcPr>
          <w:p w:rsidR="00D66F0A" w:rsidRPr="00D66F0A" w:rsidRDefault="00D66F0A" w:rsidP="00C33F57">
            <w:pPr>
              <w:jc w:val="right"/>
              <w:rPr>
                <w:rFonts w:eastAsia="Times New Roman" w:cs="Calibri"/>
                <w:color w:val="000000"/>
                <w:sz w:val="16"/>
                <w:szCs w:val="16"/>
                <w:lang w:eastAsia="it-IT"/>
              </w:rPr>
            </w:pPr>
            <w:r w:rsidRPr="00D66F0A">
              <w:rPr>
                <w:rFonts w:eastAsia="Times New Roman" w:cs="Calibri"/>
                <w:color w:val="000000"/>
                <w:sz w:val="16"/>
                <w:szCs w:val="16"/>
                <w:lang w:eastAsia="it-IT"/>
              </w:rPr>
              <w:t>6.4</w:t>
            </w:r>
          </w:p>
        </w:tc>
        <w:tc>
          <w:tcPr>
            <w:tcW w:w="569" w:type="pct"/>
            <w:tcBorders>
              <w:top w:val="nil"/>
              <w:left w:val="nil"/>
              <w:bottom w:val="nil"/>
              <w:right w:val="nil"/>
            </w:tcBorders>
            <w:shd w:val="clear" w:color="auto" w:fill="auto"/>
            <w:noWrap/>
            <w:vAlign w:val="center"/>
            <w:hideMark/>
          </w:tcPr>
          <w:p w:rsidR="00D66F0A" w:rsidRPr="00D66F0A" w:rsidRDefault="00D66F0A" w:rsidP="00C33F57">
            <w:pPr>
              <w:jc w:val="right"/>
              <w:rPr>
                <w:rFonts w:eastAsia="Times New Roman" w:cs="Calibri"/>
                <w:color w:val="000000"/>
                <w:sz w:val="16"/>
                <w:szCs w:val="16"/>
                <w:lang w:eastAsia="it-IT"/>
              </w:rPr>
            </w:pPr>
            <w:r w:rsidRPr="00D66F0A">
              <w:rPr>
                <w:rFonts w:eastAsia="Times New Roman" w:cs="Calibri"/>
                <w:color w:val="000000"/>
                <w:sz w:val="16"/>
                <w:szCs w:val="16"/>
                <w:lang w:eastAsia="it-IT"/>
              </w:rPr>
              <w:t>2.4</w:t>
            </w:r>
          </w:p>
        </w:tc>
      </w:tr>
      <w:tr w:rsidR="00D66F0A" w:rsidRPr="00D66F0A" w:rsidTr="00C33F57">
        <w:trPr>
          <w:trHeight w:val="300"/>
        </w:trPr>
        <w:tc>
          <w:tcPr>
            <w:tcW w:w="3201" w:type="pct"/>
            <w:tcBorders>
              <w:top w:val="nil"/>
              <w:left w:val="nil"/>
              <w:bottom w:val="nil"/>
              <w:right w:val="dashed" w:sz="8" w:space="0" w:color="76933C"/>
            </w:tcBorders>
            <w:shd w:val="clear" w:color="auto" w:fill="auto"/>
            <w:noWrap/>
            <w:vAlign w:val="center"/>
            <w:hideMark/>
          </w:tcPr>
          <w:p w:rsidR="00D66F0A" w:rsidRPr="00D66F0A" w:rsidRDefault="00D66F0A" w:rsidP="00D66F0A">
            <w:pPr>
              <w:jc w:val="left"/>
              <w:rPr>
                <w:rFonts w:eastAsia="Times New Roman" w:cs="Calibri"/>
                <w:color w:val="000000"/>
                <w:sz w:val="16"/>
                <w:szCs w:val="16"/>
                <w:lang w:val="en-US" w:eastAsia="it-IT"/>
              </w:rPr>
            </w:pPr>
            <w:r w:rsidRPr="00D66F0A">
              <w:rPr>
                <w:rFonts w:eastAsia="Times New Roman" w:cs="Calibri"/>
                <w:color w:val="000000"/>
                <w:sz w:val="16"/>
                <w:szCs w:val="16"/>
                <w:lang w:val="en-US" w:eastAsia="it-IT"/>
              </w:rPr>
              <w:t>Manufacture of coke and refined petroleum products</w:t>
            </w:r>
          </w:p>
        </w:tc>
        <w:tc>
          <w:tcPr>
            <w:tcW w:w="302" w:type="pct"/>
            <w:tcBorders>
              <w:top w:val="nil"/>
              <w:left w:val="nil"/>
              <w:bottom w:val="nil"/>
              <w:right w:val="nil"/>
            </w:tcBorders>
            <w:shd w:val="clear" w:color="auto" w:fill="auto"/>
            <w:noWrap/>
            <w:vAlign w:val="center"/>
            <w:hideMark/>
          </w:tcPr>
          <w:p w:rsidR="00D66F0A" w:rsidRPr="00D66F0A" w:rsidRDefault="00D66F0A" w:rsidP="00C33F57">
            <w:pPr>
              <w:jc w:val="right"/>
              <w:rPr>
                <w:rFonts w:eastAsia="Times New Roman" w:cs="Calibri"/>
                <w:b/>
                <w:bCs/>
                <w:color w:val="4F6228"/>
                <w:sz w:val="16"/>
                <w:szCs w:val="16"/>
                <w:lang w:eastAsia="it-IT"/>
              </w:rPr>
            </w:pPr>
            <w:r w:rsidRPr="00D66F0A">
              <w:rPr>
                <w:rFonts w:eastAsia="Times New Roman" w:cs="Calibri"/>
                <w:b/>
                <w:bCs/>
                <w:color w:val="4F6228"/>
                <w:sz w:val="16"/>
                <w:szCs w:val="16"/>
                <w:lang w:eastAsia="it-IT"/>
              </w:rPr>
              <w:t>7.4</w:t>
            </w:r>
          </w:p>
        </w:tc>
        <w:tc>
          <w:tcPr>
            <w:tcW w:w="576" w:type="pct"/>
            <w:tcBorders>
              <w:top w:val="nil"/>
              <w:left w:val="nil"/>
              <w:bottom w:val="nil"/>
              <w:right w:val="nil"/>
            </w:tcBorders>
            <w:shd w:val="clear" w:color="auto" w:fill="auto"/>
            <w:noWrap/>
            <w:vAlign w:val="center"/>
            <w:hideMark/>
          </w:tcPr>
          <w:p w:rsidR="00D66F0A" w:rsidRPr="00D66F0A" w:rsidRDefault="00D66F0A" w:rsidP="00C33F57">
            <w:pPr>
              <w:jc w:val="right"/>
              <w:rPr>
                <w:rFonts w:eastAsia="Times New Roman" w:cs="Calibri"/>
                <w:b/>
                <w:bCs/>
                <w:color w:val="4F6228"/>
                <w:sz w:val="16"/>
                <w:szCs w:val="16"/>
                <w:lang w:eastAsia="it-IT"/>
              </w:rPr>
            </w:pPr>
            <w:r w:rsidRPr="00D66F0A">
              <w:rPr>
                <w:rFonts w:eastAsia="Times New Roman" w:cs="Calibri"/>
                <w:b/>
                <w:bCs/>
                <w:color w:val="4F6228"/>
                <w:sz w:val="16"/>
                <w:szCs w:val="16"/>
                <w:lang w:eastAsia="it-IT"/>
              </w:rPr>
              <w:t>42.9</w:t>
            </w:r>
          </w:p>
        </w:tc>
        <w:tc>
          <w:tcPr>
            <w:tcW w:w="352" w:type="pct"/>
            <w:tcBorders>
              <w:top w:val="nil"/>
              <w:left w:val="dashed" w:sz="8" w:space="0" w:color="76933C"/>
              <w:bottom w:val="nil"/>
              <w:right w:val="nil"/>
            </w:tcBorders>
            <w:shd w:val="clear" w:color="auto" w:fill="auto"/>
            <w:noWrap/>
            <w:vAlign w:val="center"/>
            <w:hideMark/>
          </w:tcPr>
          <w:p w:rsidR="00D66F0A" w:rsidRPr="00D66F0A" w:rsidRDefault="00D66F0A" w:rsidP="00C33F57">
            <w:pPr>
              <w:jc w:val="right"/>
              <w:rPr>
                <w:rFonts w:eastAsia="Times New Roman" w:cs="Calibri"/>
                <w:color w:val="000000"/>
                <w:sz w:val="16"/>
                <w:szCs w:val="16"/>
                <w:lang w:eastAsia="it-IT"/>
              </w:rPr>
            </w:pPr>
            <w:r w:rsidRPr="00D66F0A">
              <w:rPr>
                <w:rFonts w:eastAsia="Times New Roman" w:cs="Calibri"/>
                <w:color w:val="000000"/>
                <w:sz w:val="16"/>
                <w:szCs w:val="16"/>
                <w:lang w:eastAsia="it-IT"/>
              </w:rPr>
              <w:t>9.9</w:t>
            </w:r>
          </w:p>
        </w:tc>
        <w:tc>
          <w:tcPr>
            <w:tcW w:w="569" w:type="pct"/>
            <w:tcBorders>
              <w:top w:val="nil"/>
              <w:left w:val="nil"/>
              <w:bottom w:val="nil"/>
              <w:right w:val="nil"/>
            </w:tcBorders>
            <w:shd w:val="clear" w:color="auto" w:fill="auto"/>
            <w:noWrap/>
            <w:vAlign w:val="center"/>
            <w:hideMark/>
          </w:tcPr>
          <w:p w:rsidR="00D66F0A" w:rsidRPr="00D66F0A" w:rsidRDefault="00D66F0A" w:rsidP="00C33F57">
            <w:pPr>
              <w:jc w:val="right"/>
              <w:rPr>
                <w:rFonts w:eastAsia="Times New Roman" w:cs="Calibri"/>
                <w:color w:val="000000"/>
                <w:sz w:val="16"/>
                <w:szCs w:val="16"/>
                <w:lang w:eastAsia="it-IT"/>
              </w:rPr>
            </w:pPr>
            <w:r w:rsidRPr="00D66F0A">
              <w:rPr>
                <w:rFonts w:eastAsia="Times New Roman" w:cs="Calibri"/>
                <w:color w:val="000000"/>
                <w:sz w:val="16"/>
                <w:szCs w:val="16"/>
                <w:lang w:eastAsia="it-IT"/>
              </w:rPr>
              <w:t>38.8</w:t>
            </w:r>
          </w:p>
        </w:tc>
      </w:tr>
      <w:tr w:rsidR="00D66F0A" w:rsidRPr="00D66F0A" w:rsidTr="00C33F57">
        <w:trPr>
          <w:trHeight w:val="300"/>
        </w:trPr>
        <w:tc>
          <w:tcPr>
            <w:tcW w:w="3201" w:type="pct"/>
            <w:tcBorders>
              <w:top w:val="nil"/>
              <w:left w:val="nil"/>
              <w:bottom w:val="nil"/>
              <w:right w:val="dashed" w:sz="8" w:space="0" w:color="76933C"/>
            </w:tcBorders>
            <w:shd w:val="clear" w:color="auto" w:fill="auto"/>
            <w:noWrap/>
            <w:vAlign w:val="center"/>
            <w:hideMark/>
          </w:tcPr>
          <w:p w:rsidR="00D66F0A" w:rsidRPr="00D66F0A" w:rsidRDefault="00D66F0A" w:rsidP="00D66F0A">
            <w:pPr>
              <w:jc w:val="left"/>
              <w:rPr>
                <w:rFonts w:eastAsia="Times New Roman" w:cs="Calibri"/>
                <w:color w:val="000000"/>
                <w:sz w:val="16"/>
                <w:szCs w:val="16"/>
                <w:lang w:val="en-US" w:eastAsia="it-IT"/>
              </w:rPr>
            </w:pPr>
            <w:r w:rsidRPr="00D66F0A">
              <w:rPr>
                <w:rFonts w:eastAsia="Times New Roman" w:cs="Calibri"/>
                <w:color w:val="000000"/>
                <w:sz w:val="16"/>
                <w:szCs w:val="16"/>
                <w:lang w:val="en-US" w:eastAsia="it-IT"/>
              </w:rPr>
              <w:t>Manufacture of chemicals and chemical products</w:t>
            </w:r>
          </w:p>
        </w:tc>
        <w:tc>
          <w:tcPr>
            <w:tcW w:w="302" w:type="pct"/>
            <w:tcBorders>
              <w:top w:val="nil"/>
              <w:left w:val="nil"/>
              <w:bottom w:val="nil"/>
              <w:right w:val="nil"/>
            </w:tcBorders>
            <w:shd w:val="clear" w:color="auto" w:fill="auto"/>
            <w:noWrap/>
            <w:vAlign w:val="center"/>
            <w:hideMark/>
          </w:tcPr>
          <w:p w:rsidR="00D66F0A" w:rsidRPr="00D66F0A" w:rsidRDefault="00D66F0A" w:rsidP="00C33F57">
            <w:pPr>
              <w:jc w:val="right"/>
              <w:rPr>
                <w:rFonts w:eastAsia="Times New Roman" w:cs="Calibri"/>
                <w:b/>
                <w:bCs/>
                <w:color w:val="4F6228"/>
                <w:sz w:val="16"/>
                <w:szCs w:val="16"/>
                <w:lang w:eastAsia="it-IT"/>
              </w:rPr>
            </w:pPr>
            <w:r w:rsidRPr="00D66F0A">
              <w:rPr>
                <w:rFonts w:eastAsia="Times New Roman" w:cs="Calibri"/>
                <w:b/>
                <w:bCs/>
                <w:color w:val="4F6228"/>
                <w:sz w:val="16"/>
                <w:szCs w:val="16"/>
                <w:lang w:eastAsia="it-IT"/>
              </w:rPr>
              <w:t>1.8</w:t>
            </w:r>
          </w:p>
        </w:tc>
        <w:tc>
          <w:tcPr>
            <w:tcW w:w="576" w:type="pct"/>
            <w:tcBorders>
              <w:top w:val="nil"/>
              <w:left w:val="nil"/>
              <w:bottom w:val="nil"/>
              <w:right w:val="nil"/>
            </w:tcBorders>
            <w:shd w:val="clear" w:color="auto" w:fill="auto"/>
            <w:noWrap/>
            <w:vAlign w:val="center"/>
            <w:hideMark/>
          </w:tcPr>
          <w:p w:rsidR="00D66F0A" w:rsidRPr="00D66F0A" w:rsidRDefault="00D66F0A" w:rsidP="00C33F57">
            <w:pPr>
              <w:jc w:val="right"/>
              <w:rPr>
                <w:rFonts w:eastAsia="Times New Roman" w:cs="Calibri"/>
                <w:b/>
                <w:bCs/>
                <w:color w:val="4F6228"/>
                <w:sz w:val="16"/>
                <w:szCs w:val="16"/>
                <w:lang w:eastAsia="it-IT"/>
              </w:rPr>
            </w:pPr>
            <w:r w:rsidRPr="00D66F0A">
              <w:rPr>
                <w:rFonts w:eastAsia="Times New Roman" w:cs="Calibri"/>
                <w:b/>
                <w:bCs/>
                <w:color w:val="4F6228"/>
                <w:sz w:val="16"/>
                <w:szCs w:val="16"/>
                <w:lang w:eastAsia="it-IT"/>
              </w:rPr>
              <w:t>21.6</w:t>
            </w:r>
          </w:p>
        </w:tc>
        <w:tc>
          <w:tcPr>
            <w:tcW w:w="352" w:type="pct"/>
            <w:tcBorders>
              <w:top w:val="nil"/>
              <w:left w:val="dashed" w:sz="8" w:space="0" w:color="76933C"/>
              <w:bottom w:val="nil"/>
              <w:right w:val="nil"/>
            </w:tcBorders>
            <w:shd w:val="clear" w:color="auto" w:fill="auto"/>
            <w:noWrap/>
            <w:vAlign w:val="center"/>
            <w:hideMark/>
          </w:tcPr>
          <w:p w:rsidR="00D66F0A" w:rsidRPr="00D66F0A" w:rsidRDefault="00D66F0A" w:rsidP="00C33F57">
            <w:pPr>
              <w:jc w:val="right"/>
              <w:rPr>
                <w:rFonts w:eastAsia="Times New Roman" w:cs="Calibri"/>
                <w:color w:val="000000"/>
                <w:sz w:val="16"/>
                <w:szCs w:val="16"/>
                <w:lang w:eastAsia="it-IT"/>
              </w:rPr>
            </w:pPr>
            <w:r w:rsidRPr="00D66F0A">
              <w:rPr>
                <w:rFonts w:eastAsia="Times New Roman" w:cs="Calibri"/>
                <w:color w:val="000000"/>
                <w:sz w:val="16"/>
                <w:szCs w:val="16"/>
                <w:lang w:eastAsia="it-IT"/>
              </w:rPr>
              <w:t>22.5</w:t>
            </w:r>
          </w:p>
        </w:tc>
        <w:tc>
          <w:tcPr>
            <w:tcW w:w="569" w:type="pct"/>
            <w:tcBorders>
              <w:top w:val="nil"/>
              <w:left w:val="nil"/>
              <w:bottom w:val="nil"/>
              <w:right w:val="nil"/>
            </w:tcBorders>
            <w:shd w:val="clear" w:color="auto" w:fill="auto"/>
            <w:noWrap/>
            <w:vAlign w:val="center"/>
            <w:hideMark/>
          </w:tcPr>
          <w:p w:rsidR="00D66F0A" w:rsidRPr="00D66F0A" w:rsidRDefault="00D66F0A" w:rsidP="00C33F57">
            <w:pPr>
              <w:jc w:val="right"/>
              <w:rPr>
                <w:rFonts w:eastAsia="Times New Roman" w:cs="Calibri"/>
                <w:color w:val="000000"/>
                <w:sz w:val="16"/>
                <w:szCs w:val="16"/>
                <w:lang w:eastAsia="it-IT"/>
              </w:rPr>
            </w:pPr>
            <w:r w:rsidRPr="00D66F0A">
              <w:rPr>
                <w:rFonts w:eastAsia="Times New Roman" w:cs="Calibri"/>
                <w:color w:val="000000"/>
                <w:sz w:val="16"/>
                <w:szCs w:val="16"/>
                <w:lang w:eastAsia="it-IT"/>
              </w:rPr>
              <w:t>10.3</w:t>
            </w:r>
          </w:p>
        </w:tc>
      </w:tr>
      <w:tr w:rsidR="00D66F0A" w:rsidRPr="00D66F0A" w:rsidTr="00C33F57">
        <w:trPr>
          <w:trHeight w:val="300"/>
        </w:trPr>
        <w:tc>
          <w:tcPr>
            <w:tcW w:w="3201" w:type="pct"/>
            <w:tcBorders>
              <w:top w:val="nil"/>
              <w:left w:val="nil"/>
              <w:bottom w:val="nil"/>
              <w:right w:val="dashed" w:sz="8" w:space="0" w:color="76933C"/>
            </w:tcBorders>
            <w:shd w:val="clear" w:color="auto" w:fill="auto"/>
            <w:noWrap/>
            <w:vAlign w:val="center"/>
            <w:hideMark/>
          </w:tcPr>
          <w:p w:rsidR="00D66F0A" w:rsidRPr="00D66F0A" w:rsidRDefault="00D66F0A" w:rsidP="00D66F0A">
            <w:pPr>
              <w:jc w:val="left"/>
              <w:rPr>
                <w:rFonts w:eastAsia="Times New Roman" w:cs="Calibri"/>
                <w:color w:val="000000"/>
                <w:sz w:val="16"/>
                <w:szCs w:val="16"/>
                <w:lang w:val="en-US" w:eastAsia="it-IT"/>
              </w:rPr>
            </w:pPr>
            <w:r w:rsidRPr="00D66F0A">
              <w:rPr>
                <w:rFonts w:eastAsia="Times New Roman" w:cs="Calibri"/>
                <w:color w:val="000000"/>
                <w:sz w:val="16"/>
                <w:szCs w:val="16"/>
                <w:lang w:val="en-US" w:eastAsia="it-IT"/>
              </w:rPr>
              <w:t>Manufacture of basic pharmaceutical products and pharmaceutical preparations</w:t>
            </w:r>
          </w:p>
        </w:tc>
        <w:tc>
          <w:tcPr>
            <w:tcW w:w="302" w:type="pct"/>
            <w:tcBorders>
              <w:top w:val="nil"/>
              <w:left w:val="nil"/>
              <w:bottom w:val="nil"/>
              <w:right w:val="nil"/>
            </w:tcBorders>
            <w:shd w:val="clear" w:color="auto" w:fill="auto"/>
            <w:noWrap/>
            <w:vAlign w:val="center"/>
            <w:hideMark/>
          </w:tcPr>
          <w:p w:rsidR="00D66F0A" w:rsidRPr="00D66F0A" w:rsidRDefault="00D66F0A" w:rsidP="00C33F57">
            <w:pPr>
              <w:jc w:val="right"/>
              <w:rPr>
                <w:rFonts w:eastAsia="Times New Roman" w:cs="Calibri"/>
                <w:b/>
                <w:bCs/>
                <w:color w:val="4F6228"/>
                <w:sz w:val="16"/>
                <w:szCs w:val="16"/>
                <w:lang w:eastAsia="it-IT"/>
              </w:rPr>
            </w:pPr>
            <w:r w:rsidRPr="00D66F0A">
              <w:rPr>
                <w:rFonts w:eastAsia="Times New Roman" w:cs="Calibri"/>
                <w:b/>
                <w:bCs/>
                <w:color w:val="4F6228"/>
                <w:sz w:val="16"/>
                <w:szCs w:val="16"/>
                <w:lang w:eastAsia="it-IT"/>
              </w:rPr>
              <w:t>2.0</w:t>
            </w:r>
          </w:p>
        </w:tc>
        <w:tc>
          <w:tcPr>
            <w:tcW w:w="576" w:type="pct"/>
            <w:tcBorders>
              <w:top w:val="nil"/>
              <w:left w:val="nil"/>
              <w:bottom w:val="nil"/>
              <w:right w:val="nil"/>
            </w:tcBorders>
            <w:shd w:val="clear" w:color="auto" w:fill="auto"/>
            <w:noWrap/>
            <w:vAlign w:val="center"/>
            <w:hideMark/>
          </w:tcPr>
          <w:p w:rsidR="00D66F0A" w:rsidRPr="00D66F0A" w:rsidRDefault="00D66F0A" w:rsidP="00C33F57">
            <w:pPr>
              <w:jc w:val="right"/>
              <w:rPr>
                <w:rFonts w:eastAsia="Times New Roman" w:cs="Calibri"/>
                <w:b/>
                <w:bCs/>
                <w:color w:val="4F6228"/>
                <w:sz w:val="16"/>
                <w:szCs w:val="16"/>
                <w:lang w:eastAsia="it-IT"/>
              </w:rPr>
            </w:pPr>
            <w:r w:rsidRPr="00D66F0A">
              <w:rPr>
                <w:rFonts w:eastAsia="Times New Roman" w:cs="Calibri"/>
                <w:b/>
                <w:bCs/>
                <w:color w:val="4F6228"/>
                <w:sz w:val="16"/>
                <w:szCs w:val="16"/>
                <w:lang w:eastAsia="it-IT"/>
              </w:rPr>
              <w:t>9.4</w:t>
            </w:r>
          </w:p>
        </w:tc>
        <w:tc>
          <w:tcPr>
            <w:tcW w:w="352" w:type="pct"/>
            <w:tcBorders>
              <w:top w:val="nil"/>
              <w:left w:val="dashed" w:sz="8" w:space="0" w:color="76933C"/>
              <w:bottom w:val="nil"/>
              <w:right w:val="nil"/>
            </w:tcBorders>
            <w:shd w:val="clear" w:color="auto" w:fill="auto"/>
            <w:noWrap/>
            <w:vAlign w:val="center"/>
            <w:hideMark/>
          </w:tcPr>
          <w:p w:rsidR="00D66F0A" w:rsidRPr="00D66F0A" w:rsidRDefault="00D66F0A" w:rsidP="00C33F57">
            <w:pPr>
              <w:jc w:val="right"/>
              <w:rPr>
                <w:rFonts w:eastAsia="Times New Roman" w:cs="Calibri"/>
                <w:color w:val="000000"/>
                <w:sz w:val="16"/>
                <w:szCs w:val="16"/>
                <w:lang w:eastAsia="it-IT"/>
              </w:rPr>
            </w:pPr>
            <w:r w:rsidRPr="00D66F0A">
              <w:rPr>
                <w:rFonts w:eastAsia="Times New Roman" w:cs="Calibri"/>
                <w:color w:val="000000"/>
                <w:sz w:val="16"/>
                <w:szCs w:val="16"/>
                <w:lang w:eastAsia="it-IT"/>
              </w:rPr>
              <w:t>17.8</w:t>
            </w:r>
          </w:p>
        </w:tc>
        <w:tc>
          <w:tcPr>
            <w:tcW w:w="569" w:type="pct"/>
            <w:tcBorders>
              <w:top w:val="nil"/>
              <w:left w:val="nil"/>
              <w:bottom w:val="nil"/>
              <w:right w:val="nil"/>
            </w:tcBorders>
            <w:shd w:val="clear" w:color="auto" w:fill="auto"/>
            <w:noWrap/>
            <w:vAlign w:val="center"/>
            <w:hideMark/>
          </w:tcPr>
          <w:p w:rsidR="00D66F0A" w:rsidRPr="00D66F0A" w:rsidRDefault="00D66F0A" w:rsidP="00C33F57">
            <w:pPr>
              <w:jc w:val="right"/>
              <w:rPr>
                <w:rFonts w:eastAsia="Times New Roman" w:cs="Calibri"/>
                <w:color w:val="000000"/>
                <w:sz w:val="16"/>
                <w:szCs w:val="16"/>
                <w:lang w:eastAsia="it-IT"/>
              </w:rPr>
            </w:pPr>
            <w:r w:rsidRPr="00D66F0A">
              <w:rPr>
                <w:rFonts w:eastAsia="Times New Roman" w:cs="Calibri"/>
                <w:color w:val="000000"/>
                <w:sz w:val="16"/>
                <w:szCs w:val="16"/>
                <w:lang w:eastAsia="it-IT"/>
              </w:rPr>
              <w:t>13.2</w:t>
            </w:r>
          </w:p>
        </w:tc>
      </w:tr>
      <w:tr w:rsidR="00D66F0A" w:rsidRPr="00D66F0A" w:rsidTr="00C33F57">
        <w:trPr>
          <w:trHeight w:val="300"/>
        </w:trPr>
        <w:tc>
          <w:tcPr>
            <w:tcW w:w="3201" w:type="pct"/>
            <w:tcBorders>
              <w:top w:val="nil"/>
              <w:left w:val="nil"/>
              <w:bottom w:val="nil"/>
              <w:right w:val="dashed" w:sz="8" w:space="0" w:color="76933C"/>
            </w:tcBorders>
            <w:shd w:val="clear" w:color="auto" w:fill="auto"/>
            <w:noWrap/>
            <w:vAlign w:val="center"/>
            <w:hideMark/>
          </w:tcPr>
          <w:p w:rsidR="00D66F0A" w:rsidRPr="00D66F0A" w:rsidRDefault="00D66F0A" w:rsidP="00D66F0A">
            <w:pPr>
              <w:jc w:val="left"/>
              <w:rPr>
                <w:rFonts w:eastAsia="Times New Roman" w:cs="Calibri"/>
                <w:color w:val="000000"/>
                <w:sz w:val="16"/>
                <w:szCs w:val="16"/>
                <w:lang w:val="en-US" w:eastAsia="it-IT"/>
              </w:rPr>
            </w:pPr>
            <w:r w:rsidRPr="00D66F0A">
              <w:rPr>
                <w:rFonts w:eastAsia="Times New Roman" w:cs="Calibri"/>
                <w:color w:val="000000"/>
                <w:sz w:val="16"/>
                <w:szCs w:val="16"/>
                <w:lang w:val="en-US" w:eastAsia="it-IT"/>
              </w:rPr>
              <w:t>Manufacture of rubber and plastic products and other non-metallic mineral products</w:t>
            </w:r>
          </w:p>
        </w:tc>
        <w:tc>
          <w:tcPr>
            <w:tcW w:w="302" w:type="pct"/>
            <w:tcBorders>
              <w:top w:val="nil"/>
              <w:left w:val="nil"/>
              <w:bottom w:val="nil"/>
              <w:right w:val="nil"/>
            </w:tcBorders>
            <w:shd w:val="clear" w:color="auto" w:fill="auto"/>
            <w:noWrap/>
            <w:vAlign w:val="center"/>
            <w:hideMark/>
          </w:tcPr>
          <w:p w:rsidR="00D66F0A" w:rsidRPr="00D66F0A" w:rsidRDefault="00D66F0A" w:rsidP="00C33F57">
            <w:pPr>
              <w:jc w:val="right"/>
              <w:rPr>
                <w:rFonts w:eastAsia="Times New Roman" w:cs="Calibri"/>
                <w:b/>
                <w:bCs/>
                <w:color w:val="4F6228"/>
                <w:sz w:val="16"/>
                <w:szCs w:val="16"/>
                <w:lang w:eastAsia="it-IT"/>
              </w:rPr>
            </w:pPr>
            <w:r w:rsidRPr="00D66F0A">
              <w:rPr>
                <w:rFonts w:eastAsia="Times New Roman" w:cs="Calibri"/>
                <w:b/>
                <w:bCs/>
                <w:color w:val="4F6228"/>
                <w:sz w:val="16"/>
                <w:szCs w:val="16"/>
                <w:lang w:eastAsia="it-IT"/>
              </w:rPr>
              <w:t>1.4</w:t>
            </w:r>
          </w:p>
        </w:tc>
        <w:tc>
          <w:tcPr>
            <w:tcW w:w="576" w:type="pct"/>
            <w:tcBorders>
              <w:top w:val="nil"/>
              <w:left w:val="nil"/>
              <w:bottom w:val="nil"/>
              <w:right w:val="nil"/>
            </w:tcBorders>
            <w:shd w:val="clear" w:color="auto" w:fill="auto"/>
            <w:noWrap/>
            <w:vAlign w:val="center"/>
            <w:hideMark/>
          </w:tcPr>
          <w:p w:rsidR="00D66F0A" w:rsidRPr="00D66F0A" w:rsidRDefault="00D66F0A" w:rsidP="00C33F57">
            <w:pPr>
              <w:jc w:val="right"/>
              <w:rPr>
                <w:rFonts w:eastAsia="Times New Roman" w:cs="Calibri"/>
                <w:b/>
                <w:bCs/>
                <w:color w:val="4F6228"/>
                <w:sz w:val="16"/>
                <w:szCs w:val="16"/>
                <w:lang w:eastAsia="it-IT"/>
              </w:rPr>
            </w:pPr>
            <w:r w:rsidRPr="00D66F0A">
              <w:rPr>
                <w:rFonts w:eastAsia="Times New Roman" w:cs="Calibri"/>
                <w:b/>
                <w:bCs/>
                <w:color w:val="4F6228"/>
                <w:sz w:val="16"/>
                <w:szCs w:val="16"/>
                <w:lang w:eastAsia="it-IT"/>
              </w:rPr>
              <w:t>2.5</w:t>
            </w:r>
          </w:p>
        </w:tc>
        <w:tc>
          <w:tcPr>
            <w:tcW w:w="352" w:type="pct"/>
            <w:tcBorders>
              <w:top w:val="nil"/>
              <w:left w:val="dashed" w:sz="8" w:space="0" w:color="76933C"/>
              <w:bottom w:val="nil"/>
              <w:right w:val="nil"/>
            </w:tcBorders>
            <w:shd w:val="clear" w:color="auto" w:fill="auto"/>
            <w:noWrap/>
            <w:vAlign w:val="center"/>
            <w:hideMark/>
          </w:tcPr>
          <w:p w:rsidR="00D66F0A" w:rsidRPr="00D66F0A" w:rsidRDefault="00D66F0A" w:rsidP="00C33F57">
            <w:pPr>
              <w:jc w:val="right"/>
              <w:rPr>
                <w:rFonts w:eastAsia="Times New Roman" w:cs="Calibri"/>
                <w:color w:val="000000"/>
                <w:sz w:val="16"/>
                <w:szCs w:val="16"/>
                <w:lang w:eastAsia="it-IT"/>
              </w:rPr>
            </w:pPr>
            <w:r w:rsidRPr="00D66F0A">
              <w:rPr>
                <w:rFonts w:eastAsia="Times New Roman" w:cs="Calibri"/>
                <w:color w:val="000000"/>
                <w:sz w:val="16"/>
                <w:szCs w:val="16"/>
                <w:lang w:eastAsia="it-IT"/>
              </w:rPr>
              <w:t>19.9</w:t>
            </w:r>
          </w:p>
        </w:tc>
        <w:tc>
          <w:tcPr>
            <w:tcW w:w="569" w:type="pct"/>
            <w:tcBorders>
              <w:top w:val="nil"/>
              <w:left w:val="nil"/>
              <w:bottom w:val="nil"/>
              <w:right w:val="nil"/>
            </w:tcBorders>
            <w:shd w:val="clear" w:color="auto" w:fill="auto"/>
            <w:noWrap/>
            <w:vAlign w:val="center"/>
            <w:hideMark/>
          </w:tcPr>
          <w:p w:rsidR="00D66F0A" w:rsidRPr="00D66F0A" w:rsidRDefault="00D66F0A" w:rsidP="00C33F57">
            <w:pPr>
              <w:jc w:val="right"/>
              <w:rPr>
                <w:rFonts w:eastAsia="Times New Roman" w:cs="Calibri"/>
                <w:color w:val="000000"/>
                <w:sz w:val="16"/>
                <w:szCs w:val="16"/>
                <w:lang w:eastAsia="it-IT"/>
              </w:rPr>
            </w:pPr>
            <w:r w:rsidRPr="00D66F0A">
              <w:rPr>
                <w:rFonts w:eastAsia="Times New Roman" w:cs="Calibri"/>
                <w:color w:val="000000"/>
                <w:sz w:val="16"/>
                <w:szCs w:val="16"/>
                <w:lang w:eastAsia="it-IT"/>
              </w:rPr>
              <w:t>3.9</w:t>
            </w:r>
          </w:p>
        </w:tc>
      </w:tr>
      <w:tr w:rsidR="00D66F0A" w:rsidRPr="00D66F0A" w:rsidTr="00C33F57">
        <w:trPr>
          <w:trHeight w:val="300"/>
        </w:trPr>
        <w:tc>
          <w:tcPr>
            <w:tcW w:w="3201" w:type="pct"/>
            <w:tcBorders>
              <w:top w:val="nil"/>
              <w:left w:val="nil"/>
              <w:bottom w:val="nil"/>
              <w:right w:val="dashed" w:sz="8" w:space="0" w:color="76933C"/>
            </w:tcBorders>
            <w:shd w:val="clear" w:color="auto" w:fill="auto"/>
            <w:noWrap/>
            <w:vAlign w:val="center"/>
            <w:hideMark/>
          </w:tcPr>
          <w:p w:rsidR="00D66F0A" w:rsidRPr="00D66F0A" w:rsidRDefault="00D66F0A" w:rsidP="00D66F0A">
            <w:pPr>
              <w:jc w:val="left"/>
              <w:rPr>
                <w:rFonts w:eastAsia="Times New Roman" w:cs="Calibri"/>
                <w:color w:val="000000"/>
                <w:sz w:val="16"/>
                <w:szCs w:val="16"/>
                <w:lang w:val="en-US" w:eastAsia="it-IT"/>
              </w:rPr>
            </w:pPr>
            <w:r w:rsidRPr="00D66F0A">
              <w:rPr>
                <w:rFonts w:eastAsia="Times New Roman" w:cs="Calibri"/>
                <w:color w:val="000000"/>
                <w:sz w:val="16"/>
                <w:szCs w:val="16"/>
                <w:lang w:val="en-US" w:eastAsia="it-IT"/>
              </w:rPr>
              <w:t>Manufacture of basic metals and fabricated metal products, except machinery and equipment</w:t>
            </w:r>
          </w:p>
        </w:tc>
        <w:tc>
          <w:tcPr>
            <w:tcW w:w="302" w:type="pct"/>
            <w:tcBorders>
              <w:top w:val="nil"/>
              <w:left w:val="nil"/>
              <w:bottom w:val="nil"/>
              <w:right w:val="nil"/>
            </w:tcBorders>
            <w:shd w:val="clear" w:color="auto" w:fill="auto"/>
            <w:noWrap/>
            <w:vAlign w:val="center"/>
            <w:hideMark/>
          </w:tcPr>
          <w:p w:rsidR="00D66F0A" w:rsidRPr="00D66F0A" w:rsidRDefault="00D66F0A" w:rsidP="00C33F57">
            <w:pPr>
              <w:jc w:val="right"/>
              <w:rPr>
                <w:rFonts w:eastAsia="Times New Roman" w:cs="Calibri"/>
                <w:b/>
                <w:bCs/>
                <w:color w:val="4F6228"/>
                <w:sz w:val="16"/>
                <w:szCs w:val="16"/>
                <w:lang w:eastAsia="it-IT"/>
              </w:rPr>
            </w:pPr>
            <w:r w:rsidRPr="00D66F0A">
              <w:rPr>
                <w:rFonts w:eastAsia="Times New Roman" w:cs="Calibri"/>
                <w:b/>
                <w:bCs/>
                <w:color w:val="4F6228"/>
                <w:sz w:val="16"/>
                <w:szCs w:val="16"/>
                <w:lang w:eastAsia="it-IT"/>
              </w:rPr>
              <w:t>1.9</w:t>
            </w:r>
          </w:p>
        </w:tc>
        <w:tc>
          <w:tcPr>
            <w:tcW w:w="576" w:type="pct"/>
            <w:tcBorders>
              <w:top w:val="nil"/>
              <w:left w:val="nil"/>
              <w:bottom w:val="nil"/>
              <w:right w:val="nil"/>
            </w:tcBorders>
            <w:shd w:val="clear" w:color="auto" w:fill="auto"/>
            <w:noWrap/>
            <w:vAlign w:val="center"/>
            <w:hideMark/>
          </w:tcPr>
          <w:p w:rsidR="00D66F0A" w:rsidRPr="00D66F0A" w:rsidRDefault="00D66F0A" w:rsidP="00C33F57">
            <w:pPr>
              <w:jc w:val="right"/>
              <w:rPr>
                <w:rFonts w:eastAsia="Times New Roman" w:cs="Calibri"/>
                <w:b/>
                <w:bCs/>
                <w:color w:val="4F6228"/>
                <w:sz w:val="16"/>
                <w:szCs w:val="16"/>
                <w:lang w:eastAsia="it-IT"/>
              </w:rPr>
            </w:pPr>
            <w:r w:rsidRPr="00D66F0A">
              <w:rPr>
                <w:rFonts w:eastAsia="Times New Roman" w:cs="Calibri"/>
                <w:b/>
                <w:bCs/>
                <w:color w:val="4F6228"/>
                <w:sz w:val="16"/>
                <w:szCs w:val="16"/>
                <w:lang w:eastAsia="it-IT"/>
              </w:rPr>
              <w:t>1.3</w:t>
            </w:r>
          </w:p>
        </w:tc>
        <w:tc>
          <w:tcPr>
            <w:tcW w:w="352" w:type="pct"/>
            <w:tcBorders>
              <w:top w:val="nil"/>
              <w:left w:val="dashed" w:sz="8" w:space="0" w:color="76933C"/>
              <w:bottom w:val="nil"/>
              <w:right w:val="nil"/>
            </w:tcBorders>
            <w:shd w:val="clear" w:color="auto" w:fill="auto"/>
            <w:noWrap/>
            <w:vAlign w:val="center"/>
            <w:hideMark/>
          </w:tcPr>
          <w:p w:rsidR="00D66F0A" w:rsidRPr="00D66F0A" w:rsidRDefault="00D66F0A" w:rsidP="00C33F57">
            <w:pPr>
              <w:jc w:val="right"/>
              <w:rPr>
                <w:rFonts w:eastAsia="Times New Roman" w:cs="Calibri"/>
                <w:color w:val="000000"/>
                <w:sz w:val="16"/>
                <w:szCs w:val="16"/>
                <w:lang w:eastAsia="it-IT"/>
              </w:rPr>
            </w:pPr>
            <w:r w:rsidRPr="00D66F0A">
              <w:rPr>
                <w:rFonts w:eastAsia="Times New Roman" w:cs="Calibri"/>
                <w:color w:val="000000"/>
                <w:sz w:val="16"/>
                <w:szCs w:val="16"/>
                <w:lang w:eastAsia="it-IT"/>
              </w:rPr>
              <w:t>35.0</w:t>
            </w:r>
          </w:p>
        </w:tc>
        <w:tc>
          <w:tcPr>
            <w:tcW w:w="569" w:type="pct"/>
            <w:tcBorders>
              <w:top w:val="nil"/>
              <w:left w:val="nil"/>
              <w:bottom w:val="nil"/>
              <w:right w:val="nil"/>
            </w:tcBorders>
            <w:shd w:val="clear" w:color="auto" w:fill="auto"/>
            <w:noWrap/>
            <w:vAlign w:val="center"/>
            <w:hideMark/>
          </w:tcPr>
          <w:p w:rsidR="00D66F0A" w:rsidRPr="00D66F0A" w:rsidRDefault="00D66F0A" w:rsidP="00C33F57">
            <w:pPr>
              <w:jc w:val="right"/>
              <w:rPr>
                <w:rFonts w:eastAsia="Times New Roman" w:cs="Calibri"/>
                <w:color w:val="000000"/>
                <w:sz w:val="16"/>
                <w:szCs w:val="16"/>
                <w:lang w:eastAsia="it-IT"/>
              </w:rPr>
            </w:pPr>
            <w:r w:rsidRPr="00D66F0A">
              <w:rPr>
                <w:rFonts w:eastAsia="Times New Roman" w:cs="Calibri"/>
                <w:color w:val="000000"/>
                <w:sz w:val="16"/>
                <w:szCs w:val="16"/>
                <w:lang w:eastAsia="it-IT"/>
              </w:rPr>
              <w:t>8.4</w:t>
            </w:r>
          </w:p>
        </w:tc>
      </w:tr>
      <w:tr w:rsidR="00D66F0A" w:rsidRPr="00D66F0A" w:rsidTr="00C33F57">
        <w:trPr>
          <w:trHeight w:val="300"/>
        </w:trPr>
        <w:tc>
          <w:tcPr>
            <w:tcW w:w="3201" w:type="pct"/>
            <w:tcBorders>
              <w:top w:val="nil"/>
              <w:left w:val="nil"/>
              <w:bottom w:val="nil"/>
              <w:right w:val="dashed" w:sz="8" w:space="0" w:color="76933C"/>
            </w:tcBorders>
            <w:shd w:val="clear" w:color="auto" w:fill="auto"/>
            <w:noWrap/>
            <w:vAlign w:val="center"/>
            <w:hideMark/>
          </w:tcPr>
          <w:p w:rsidR="00D66F0A" w:rsidRPr="00D66F0A" w:rsidRDefault="00D66F0A" w:rsidP="00D66F0A">
            <w:pPr>
              <w:jc w:val="left"/>
              <w:rPr>
                <w:rFonts w:eastAsia="Times New Roman" w:cs="Calibri"/>
                <w:color w:val="000000"/>
                <w:sz w:val="16"/>
                <w:szCs w:val="16"/>
                <w:lang w:val="en-US" w:eastAsia="it-IT"/>
              </w:rPr>
            </w:pPr>
            <w:r w:rsidRPr="00D66F0A">
              <w:rPr>
                <w:rFonts w:eastAsia="Times New Roman" w:cs="Calibri"/>
                <w:color w:val="000000"/>
                <w:sz w:val="16"/>
                <w:szCs w:val="16"/>
                <w:lang w:val="en-US" w:eastAsia="it-IT"/>
              </w:rPr>
              <w:t xml:space="preserve">Manufacture of computer, electronic and optical products; </w:t>
            </w:r>
          </w:p>
        </w:tc>
        <w:tc>
          <w:tcPr>
            <w:tcW w:w="302" w:type="pct"/>
            <w:tcBorders>
              <w:top w:val="nil"/>
              <w:left w:val="nil"/>
              <w:bottom w:val="nil"/>
              <w:right w:val="nil"/>
            </w:tcBorders>
            <w:shd w:val="clear" w:color="auto" w:fill="auto"/>
            <w:noWrap/>
            <w:vAlign w:val="center"/>
            <w:hideMark/>
          </w:tcPr>
          <w:p w:rsidR="00D66F0A" w:rsidRPr="00D66F0A" w:rsidRDefault="00D66F0A" w:rsidP="00C33F57">
            <w:pPr>
              <w:jc w:val="right"/>
              <w:rPr>
                <w:rFonts w:eastAsia="Times New Roman" w:cs="Calibri"/>
                <w:b/>
                <w:bCs/>
                <w:color w:val="4F6228"/>
                <w:sz w:val="16"/>
                <w:szCs w:val="16"/>
                <w:lang w:eastAsia="it-IT"/>
              </w:rPr>
            </w:pPr>
            <w:r w:rsidRPr="00D66F0A">
              <w:rPr>
                <w:rFonts w:eastAsia="Times New Roman" w:cs="Calibri"/>
                <w:b/>
                <w:bCs/>
                <w:color w:val="4F6228"/>
                <w:sz w:val="16"/>
                <w:szCs w:val="16"/>
                <w:lang w:eastAsia="it-IT"/>
              </w:rPr>
              <w:t>0.9</w:t>
            </w:r>
          </w:p>
        </w:tc>
        <w:tc>
          <w:tcPr>
            <w:tcW w:w="576" w:type="pct"/>
            <w:tcBorders>
              <w:top w:val="nil"/>
              <w:left w:val="nil"/>
              <w:bottom w:val="nil"/>
              <w:right w:val="nil"/>
            </w:tcBorders>
            <w:shd w:val="clear" w:color="auto" w:fill="auto"/>
            <w:noWrap/>
            <w:vAlign w:val="center"/>
            <w:hideMark/>
          </w:tcPr>
          <w:p w:rsidR="00D66F0A" w:rsidRPr="00D66F0A" w:rsidRDefault="00D66F0A" w:rsidP="00C33F57">
            <w:pPr>
              <w:jc w:val="right"/>
              <w:rPr>
                <w:rFonts w:eastAsia="Times New Roman" w:cs="Calibri"/>
                <w:b/>
                <w:bCs/>
                <w:color w:val="4F6228"/>
                <w:sz w:val="16"/>
                <w:szCs w:val="16"/>
                <w:lang w:eastAsia="it-IT"/>
              </w:rPr>
            </w:pPr>
            <w:r w:rsidRPr="00D66F0A">
              <w:rPr>
                <w:rFonts w:eastAsia="Times New Roman" w:cs="Calibri"/>
                <w:b/>
                <w:bCs/>
                <w:color w:val="4F6228"/>
                <w:sz w:val="16"/>
                <w:szCs w:val="16"/>
                <w:lang w:eastAsia="it-IT"/>
              </w:rPr>
              <w:t>8.4</w:t>
            </w:r>
          </w:p>
        </w:tc>
        <w:tc>
          <w:tcPr>
            <w:tcW w:w="352" w:type="pct"/>
            <w:tcBorders>
              <w:top w:val="nil"/>
              <w:left w:val="dashed" w:sz="8" w:space="0" w:color="76933C"/>
              <w:bottom w:val="nil"/>
              <w:right w:val="nil"/>
            </w:tcBorders>
            <w:shd w:val="clear" w:color="auto" w:fill="auto"/>
            <w:noWrap/>
            <w:vAlign w:val="center"/>
            <w:hideMark/>
          </w:tcPr>
          <w:p w:rsidR="00D66F0A" w:rsidRPr="00D66F0A" w:rsidRDefault="00D66F0A" w:rsidP="00C33F57">
            <w:pPr>
              <w:jc w:val="right"/>
              <w:rPr>
                <w:rFonts w:eastAsia="Times New Roman" w:cs="Calibri"/>
                <w:color w:val="000000"/>
                <w:sz w:val="16"/>
                <w:szCs w:val="16"/>
                <w:lang w:eastAsia="it-IT"/>
              </w:rPr>
            </w:pPr>
            <w:r w:rsidRPr="00D66F0A">
              <w:rPr>
                <w:rFonts w:eastAsia="Times New Roman" w:cs="Calibri"/>
                <w:color w:val="000000"/>
                <w:sz w:val="16"/>
                <w:szCs w:val="16"/>
                <w:lang w:eastAsia="it-IT"/>
              </w:rPr>
              <w:t>10.3</w:t>
            </w:r>
          </w:p>
        </w:tc>
        <w:tc>
          <w:tcPr>
            <w:tcW w:w="569" w:type="pct"/>
            <w:tcBorders>
              <w:top w:val="nil"/>
              <w:left w:val="nil"/>
              <w:bottom w:val="nil"/>
              <w:right w:val="nil"/>
            </w:tcBorders>
            <w:shd w:val="clear" w:color="auto" w:fill="auto"/>
            <w:noWrap/>
            <w:vAlign w:val="center"/>
            <w:hideMark/>
          </w:tcPr>
          <w:p w:rsidR="00D66F0A" w:rsidRPr="00D66F0A" w:rsidRDefault="00D66F0A" w:rsidP="00C33F57">
            <w:pPr>
              <w:jc w:val="right"/>
              <w:rPr>
                <w:rFonts w:eastAsia="Times New Roman" w:cs="Calibri"/>
                <w:color w:val="000000"/>
                <w:sz w:val="16"/>
                <w:szCs w:val="16"/>
                <w:lang w:eastAsia="it-IT"/>
              </w:rPr>
            </w:pPr>
            <w:r w:rsidRPr="00D66F0A">
              <w:rPr>
                <w:rFonts w:eastAsia="Times New Roman" w:cs="Calibri"/>
                <w:color w:val="000000"/>
                <w:sz w:val="16"/>
                <w:szCs w:val="16"/>
                <w:lang w:eastAsia="it-IT"/>
              </w:rPr>
              <w:t>4.9</w:t>
            </w:r>
          </w:p>
        </w:tc>
      </w:tr>
      <w:tr w:rsidR="00D66F0A" w:rsidRPr="00D66F0A" w:rsidTr="00C33F57">
        <w:trPr>
          <w:trHeight w:val="300"/>
        </w:trPr>
        <w:tc>
          <w:tcPr>
            <w:tcW w:w="3201" w:type="pct"/>
            <w:tcBorders>
              <w:top w:val="nil"/>
              <w:left w:val="nil"/>
              <w:bottom w:val="nil"/>
              <w:right w:val="dashed" w:sz="8" w:space="0" w:color="76933C"/>
            </w:tcBorders>
            <w:shd w:val="clear" w:color="auto" w:fill="auto"/>
            <w:noWrap/>
            <w:vAlign w:val="center"/>
            <w:hideMark/>
          </w:tcPr>
          <w:p w:rsidR="00D66F0A" w:rsidRPr="00D66F0A" w:rsidRDefault="00D66F0A" w:rsidP="00D66F0A">
            <w:pPr>
              <w:jc w:val="left"/>
              <w:rPr>
                <w:rFonts w:eastAsia="Times New Roman" w:cs="Calibri"/>
                <w:color w:val="000000"/>
                <w:sz w:val="16"/>
                <w:szCs w:val="16"/>
                <w:lang w:eastAsia="it-IT"/>
              </w:rPr>
            </w:pPr>
            <w:proofErr w:type="spellStart"/>
            <w:r w:rsidRPr="00D66F0A">
              <w:rPr>
                <w:rFonts w:eastAsia="Times New Roman" w:cs="Calibri"/>
                <w:color w:val="000000"/>
                <w:sz w:val="16"/>
                <w:szCs w:val="16"/>
                <w:lang w:eastAsia="it-IT"/>
              </w:rPr>
              <w:t>Manufacture</w:t>
            </w:r>
            <w:proofErr w:type="spellEnd"/>
            <w:r w:rsidRPr="00D66F0A">
              <w:rPr>
                <w:rFonts w:eastAsia="Times New Roman" w:cs="Calibri"/>
                <w:color w:val="000000"/>
                <w:sz w:val="16"/>
                <w:szCs w:val="16"/>
                <w:lang w:eastAsia="it-IT"/>
              </w:rPr>
              <w:t xml:space="preserve"> of </w:t>
            </w:r>
            <w:proofErr w:type="spellStart"/>
            <w:r w:rsidRPr="00D66F0A">
              <w:rPr>
                <w:rFonts w:eastAsia="Times New Roman" w:cs="Calibri"/>
                <w:color w:val="000000"/>
                <w:sz w:val="16"/>
                <w:szCs w:val="16"/>
                <w:lang w:eastAsia="it-IT"/>
              </w:rPr>
              <w:t>electrical</w:t>
            </w:r>
            <w:proofErr w:type="spellEnd"/>
            <w:r w:rsidRPr="00D66F0A">
              <w:rPr>
                <w:rFonts w:eastAsia="Times New Roman" w:cs="Calibri"/>
                <w:color w:val="000000"/>
                <w:sz w:val="16"/>
                <w:szCs w:val="16"/>
                <w:lang w:eastAsia="it-IT"/>
              </w:rPr>
              <w:t xml:space="preserve"> </w:t>
            </w:r>
            <w:proofErr w:type="spellStart"/>
            <w:r w:rsidRPr="00D66F0A">
              <w:rPr>
                <w:rFonts w:eastAsia="Times New Roman" w:cs="Calibri"/>
                <w:color w:val="000000"/>
                <w:sz w:val="16"/>
                <w:szCs w:val="16"/>
                <w:lang w:eastAsia="it-IT"/>
              </w:rPr>
              <w:t>equipment</w:t>
            </w:r>
            <w:proofErr w:type="spellEnd"/>
          </w:p>
        </w:tc>
        <w:tc>
          <w:tcPr>
            <w:tcW w:w="302" w:type="pct"/>
            <w:tcBorders>
              <w:top w:val="nil"/>
              <w:left w:val="nil"/>
              <w:bottom w:val="nil"/>
              <w:right w:val="nil"/>
            </w:tcBorders>
            <w:shd w:val="clear" w:color="auto" w:fill="auto"/>
            <w:noWrap/>
            <w:vAlign w:val="center"/>
            <w:hideMark/>
          </w:tcPr>
          <w:p w:rsidR="00D66F0A" w:rsidRPr="00D66F0A" w:rsidRDefault="00D66F0A" w:rsidP="00C33F57">
            <w:pPr>
              <w:jc w:val="right"/>
              <w:rPr>
                <w:rFonts w:eastAsia="Times New Roman" w:cs="Calibri"/>
                <w:b/>
                <w:bCs/>
                <w:color w:val="4F6228"/>
                <w:sz w:val="16"/>
                <w:szCs w:val="16"/>
                <w:lang w:eastAsia="it-IT"/>
              </w:rPr>
            </w:pPr>
            <w:r w:rsidRPr="00D66F0A">
              <w:rPr>
                <w:rFonts w:eastAsia="Times New Roman" w:cs="Calibri"/>
                <w:b/>
                <w:bCs/>
                <w:color w:val="4F6228"/>
                <w:sz w:val="16"/>
                <w:szCs w:val="16"/>
                <w:lang w:eastAsia="it-IT"/>
              </w:rPr>
              <w:t>0.8</w:t>
            </w:r>
          </w:p>
        </w:tc>
        <w:tc>
          <w:tcPr>
            <w:tcW w:w="576" w:type="pct"/>
            <w:tcBorders>
              <w:top w:val="nil"/>
              <w:left w:val="nil"/>
              <w:bottom w:val="nil"/>
              <w:right w:val="nil"/>
            </w:tcBorders>
            <w:shd w:val="clear" w:color="auto" w:fill="auto"/>
            <w:noWrap/>
            <w:vAlign w:val="center"/>
            <w:hideMark/>
          </w:tcPr>
          <w:p w:rsidR="00D66F0A" w:rsidRPr="00D66F0A" w:rsidRDefault="00D66F0A" w:rsidP="00C33F57">
            <w:pPr>
              <w:jc w:val="right"/>
              <w:rPr>
                <w:rFonts w:eastAsia="Times New Roman" w:cs="Calibri"/>
                <w:b/>
                <w:bCs/>
                <w:color w:val="4F6228"/>
                <w:sz w:val="16"/>
                <w:szCs w:val="16"/>
                <w:lang w:eastAsia="it-IT"/>
              </w:rPr>
            </w:pPr>
            <w:r w:rsidRPr="00D66F0A">
              <w:rPr>
                <w:rFonts w:eastAsia="Times New Roman" w:cs="Calibri"/>
                <w:b/>
                <w:bCs/>
                <w:color w:val="4F6228"/>
                <w:sz w:val="16"/>
                <w:szCs w:val="16"/>
                <w:lang w:eastAsia="it-IT"/>
              </w:rPr>
              <w:t>-10.0</w:t>
            </w:r>
          </w:p>
        </w:tc>
        <w:tc>
          <w:tcPr>
            <w:tcW w:w="352" w:type="pct"/>
            <w:tcBorders>
              <w:top w:val="nil"/>
              <w:left w:val="dashed" w:sz="8" w:space="0" w:color="76933C"/>
              <w:bottom w:val="nil"/>
              <w:right w:val="nil"/>
            </w:tcBorders>
            <w:shd w:val="clear" w:color="auto" w:fill="auto"/>
            <w:noWrap/>
            <w:vAlign w:val="center"/>
            <w:hideMark/>
          </w:tcPr>
          <w:p w:rsidR="00D66F0A" w:rsidRPr="00D66F0A" w:rsidRDefault="00D66F0A" w:rsidP="00C33F57">
            <w:pPr>
              <w:jc w:val="right"/>
              <w:rPr>
                <w:rFonts w:eastAsia="Times New Roman" w:cs="Calibri"/>
                <w:color w:val="000000"/>
                <w:sz w:val="16"/>
                <w:szCs w:val="16"/>
                <w:lang w:eastAsia="it-IT"/>
              </w:rPr>
            </w:pPr>
            <w:r w:rsidRPr="00D66F0A">
              <w:rPr>
                <w:rFonts w:eastAsia="Times New Roman" w:cs="Calibri"/>
                <w:color w:val="000000"/>
                <w:sz w:val="16"/>
                <w:szCs w:val="16"/>
                <w:lang w:eastAsia="it-IT"/>
              </w:rPr>
              <w:t>17.0</w:t>
            </w:r>
          </w:p>
        </w:tc>
        <w:tc>
          <w:tcPr>
            <w:tcW w:w="569" w:type="pct"/>
            <w:tcBorders>
              <w:top w:val="nil"/>
              <w:left w:val="nil"/>
              <w:bottom w:val="nil"/>
              <w:right w:val="nil"/>
            </w:tcBorders>
            <w:shd w:val="clear" w:color="auto" w:fill="auto"/>
            <w:noWrap/>
            <w:vAlign w:val="center"/>
            <w:hideMark/>
          </w:tcPr>
          <w:p w:rsidR="00D66F0A" w:rsidRPr="00D66F0A" w:rsidRDefault="00D66F0A" w:rsidP="00C33F57">
            <w:pPr>
              <w:jc w:val="right"/>
              <w:rPr>
                <w:rFonts w:eastAsia="Times New Roman" w:cs="Calibri"/>
                <w:color w:val="000000"/>
                <w:sz w:val="16"/>
                <w:szCs w:val="16"/>
                <w:lang w:eastAsia="it-IT"/>
              </w:rPr>
            </w:pPr>
            <w:r w:rsidRPr="00D66F0A">
              <w:rPr>
                <w:rFonts w:eastAsia="Times New Roman" w:cs="Calibri"/>
                <w:color w:val="000000"/>
                <w:sz w:val="16"/>
                <w:szCs w:val="16"/>
                <w:lang w:eastAsia="it-IT"/>
              </w:rPr>
              <w:t>4.9</w:t>
            </w:r>
          </w:p>
        </w:tc>
      </w:tr>
      <w:tr w:rsidR="00D66F0A" w:rsidRPr="00D66F0A" w:rsidTr="00C33F57">
        <w:trPr>
          <w:trHeight w:val="300"/>
        </w:trPr>
        <w:tc>
          <w:tcPr>
            <w:tcW w:w="3201" w:type="pct"/>
            <w:tcBorders>
              <w:top w:val="nil"/>
              <w:left w:val="nil"/>
              <w:bottom w:val="nil"/>
              <w:right w:val="dashed" w:sz="8" w:space="0" w:color="76933C"/>
            </w:tcBorders>
            <w:shd w:val="clear" w:color="auto" w:fill="auto"/>
            <w:noWrap/>
            <w:vAlign w:val="center"/>
            <w:hideMark/>
          </w:tcPr>
          <w:p w:rsidR="00D66F0A" w:rsidRPr="00D66F0A" w:rsidRDefault="00D66F0A" w:rsidP="00D66F0A">
            <w:pPr>
              <w:jc w:val="left"/>
              <w:rPr>
                <w:rFonts w:eastAsia="Times New Roman" w:cs="Calibri"/>
                <w:color w:val="000000"/>
                <w:sz w:val="16"/>
                <w:szCs w:val="16"/>
                <w:lang w:val="en-US" w:eastAsia="it-IT"/>
              </w:rPr>
            </w:pPr>
            <w:r w:rsidRPr="00D66F0A">
              <w:rPr>
                <w:rFonts w:eastAsia="Times New Roman" w:cs="Calibri"/>
                <w:color w:val="000000"/>
                <w:sz w:val="16"/>
                <w:szCs w:val="16"/>
                <w:lang w:val="en-US" w:eastAsia="it-IT"/>
              </w:rPr>
              <w:t xml:space="preserve">Manufacture of machinery and equipment </w:t>
            </w:r>
            <w:proofErr w:type="spellStart"/>
            <w:r w:rsidRPr="00D66F0A">
              <w:rPr>
                <w:rFonts w:eastAsia="Times New Roman" w:cs="Calibri"/>
                <w:color w:val="000000"/>
                <w:sz w:val="16"/>
                <w:szCs w:val="16"/>
                <w:lang w:val="en-US" w:eastAsia="it-IT"/>
              </w:rPr>
              <w:t>n.e.c</w:t>
            </w:r>
            <w:proofErr w:type="spellEnd"/>
            <w:r w:rsidRPr="00D66F0A">
              <w:rPr>
                <w:rFonts w:eastAsia="Times New Roman" w:cs="Calibri"/>
                <w:color w:val="000000"/>
                <w:sz w:val="16"/>
                <w:szCs w:val="16"/>
                <w:lang w:val="en-US" w:eastAsia="it-IT"/>
              </w:rPr>
              <w:t>.</w:t>
            </w:r>
          </w:p>
        </w:tc>
        <w:tc>
          <w:tcPr>
            <w:tcW w:w="302" w:type="pct"/>
            <w:tcBorders>
              <w:top w:val="nil"/>
              <w:left w:val="nil"/>
              <w:bottom w:val="nil"/>
              <w:right w:val="nil"/>
            </w:tcBorders>
            <w:shd w:val="clear" w:color="auto" w:fill="auto"/>
            <w:noWrap/>
            <w:vAlign w:val="center"/>
            <w:hideMark/>
          </w:tcPr>
          <w:p w:rsidR="00D66F0A" w:rsidRPr="00D66F0A" w:rsidRDefault="00D66F0A" w:rsidP="00C33F57">
            <w:pPr>
              <w:jc w:val="right"/>
              <w:rPr>
                <w:rFonts w:eastAsia="Times New Roman" w:cs="Calibri"/>
                <w:b/>
                <w:bCs/>
                <w:color w:val="4F6228"/>
                <w:sz w:val="16"/>
                <w:szCs w:val="16"/>
                <w:lang w:eastAsia="it-IT"/>
              </w:rPr>
            </w:pPr>
            <w:r w:rsidRPr="00D66F0A">
              <w:rPr>
                <w:rFonts w:eastAsia="Times New Roman" w:cs="Calibri"/>
                <w:b/>
                <w:bCs/>
                <w:color w:val="4F6228"/>
                <w:sz w:val="16"/>
                <w:szCs w:val="16"/>
                <w:lang w:eastAsia="it-IT"/>
              </w:rPr>
              <w:t>1.9</w:t>
            </w:r>
          </w:p>
        </w:tc>
        <w:tc>
          <w:tcPr>
            <w:tcW w:w="576" w:type="pct"/>
            <w:tcBorders>
              <w:top w:val="nil"/>
              <w:left w:val="nil"/>
              <w:bottom w:val="nil"/>
              <w:right w:val="nil"/>
            </w:tcBorders>
            <w:shd w:val="clear" w:color="auto" w:fill="auto"/>
            <w:noWrap/>
            <w:vAlign w:val="center"/>
            <w:hideMark/>
          </w:tcPr>
          <w:p w:rsidR="00D66F0A" w:rsidRPr="00D66F0A" w:rsidRDefault="00D66F0A" w:rsidP="00C33F57">
            <w:pPr>
              <w:jc w:val="right"/>
              <w:rPr>
                <w:rFonts w:eastAsia="Times New Roman" w:cs="Calibri"/>
                <w:b/>
                <w:bCs/>
                <w:color w:val="4F6228"/>
                <w:sz w:val="16"/>
                <w:szCs w:val="16"/>
                <w:lang w:eastAsia="it-IT"/>
              </w:rPr>
            </w:pPr>
            <w:r w:rsidRPr="00D66F0A">
              <w:rPr>
                <w:rFonts w:eastAsia="Times New Roman" w:cs="Calibri"/>
                <w:b/>
                <w:bCs/>
                <w:color w:val="4F6228"/>
                <w:sz w:val="16"/>
                <w:szCs w:val="16"/>
                <w:lang w:eastAsia="it-IT"/>
              </w:rPr>
              <w:t>3.6</w:t>
            </w:r>
          </w:p>
        </w:tc>
        <w:tc>
          <w:tcPr>
            <w:tcW w:w="352" w:type="pct"/>
            <w:tcBorders>
              <w:top w:val="nil"/>
              <w:left w:val="dashed" w:sz="8" w:space="0" w:color="76933C"/>
              <w:bottom w:val="nil"/>
              <w:right w:val="nil"/>
            </w:tcBorders>
            <w:shd w:val="clear" w:color="auto" w:fill="auto"/>
            <w:noWrap/>
            <w:vAlign w:val="center"/>
            <w:hideMark/>
          </w:tcPr>
          <w:p w:rsidR="00D66F0A" w:rsidRPr="00D66F0A" w:rsidRDefault="00D66F0A" w:rsidP="00C33F57">
            <w:pPr>
              <w:jc w:val="right"/>
              <w:rPr>
                <w:rFonts w:eastAsia="Times New Roman" w:cs="Calibri"/>
                <w:color w:val="000000"/>
                <w:sz w:val="16"/>
                <w:szCs w:val="16"/>
                <w:lang w:eastAsia="it-IT"/>
              </w:rPr>
            </w:pPr>
            <w:r w:rsidRPr="00D66F0A">
              <w:rPr>
                <w:rFonts w:eastAsia="Times New Roman" w:cs="Calibri"/>
                <w:color w:val="000000"/>
                <w:sz w:val="16"/>
                <w:szCs w:val="16"/>
                <w:lang w:eastAsia="it-IT"/>
              </w:rPr>
              <w:t>58.9</w:t>
            </w:r>
          </w:p>
        </w:tc>
        <w:tc>
          <w:tcPr>
            <w:tcW w:w="569" w:type="pct"/>
            <w:tcBorders>
              <w:top w:val="nil"/>
              <w:left w:val="nil"/>
              <w:bottom w:val="nil"/>
              <w:right w:val="nil"/>
            </w:tcBorders>
            <w:shd w:val="clear" w:color="auto" w:fill="auto"/>
            <w:noWrap/>
            <w:vAlign w:val="center"/>
            <w:hideMark/>
          </w:tcPr>
          <w:p w:rsidR="00D66F0A" w:rsidRPr="00D66F0A" w:rsidRDefault="00D66F0A" w:rsidP="00C33F57">
            <w:pPr>
              <w:jc w:val="right"/>
              <w:rPr>
                <w:rFonts w:eastAsia="Times New Roman" w:cs="Calibri"/>
                <w:color w:val="000000"/>
                <w:sz w:val="16"/>
                <w:szCs w:val="16"/>
                <w:lang w:eastAsia="it-IT"/>
              </w:rPr>
            </w:pPr>
            <w:r w:rsidRPr="00D66F0A">
              <w:rPr>
                <w:rFonts w:eastAsia="Times New Roman" w:cs="Calibri"/>
                <w:color w:val="000000"/>
                <w:sz w:val="16"/>
                <w:szCs w:val="16"/>
                <w:lang w:eastAsia="it-IT"/>
              </w:rPr>
              <w:t>6.2</w:t>
            </w:r>
          </w:p>
        </w:tc>
      </w:tr>
      <w:tr w:rsidR="00D66F0A" w:rsidRPr="00D66F0A" w:rsidTr="00C33F57">
        <w:trPr>
          <w:trHeight w:val="300"/>
        </w:trPr>
        <w:tc>
          <w:tcPr>
            <w:tcW w:w="3201" w:type="pct"/>
            <w:tcBorders>
              <w:top w:val="nil"/>
              <w:left w:val="nil"/>
              <w:bottom w:val="nil"/>
              <w:right w:val="dashed" w:sz="8" w:space="0" w:color="76933C"/>
            </w:tcBorders>
            <w:shd w:val="clear" w:color="auto" w:fill="auto"/>
            <w:noWrap/>
            <w:vAlign w:val="center"/>
            <w:hideMark/>
          </w:tcPr>
          <w:p w:rsidR="00D66F0A" w:rsidRPr="00D66F0A" w:rsidRDefault="00D66F0A" w:rsidP="00D66F0A">
            <w:pPr>
              <w:jc w:val="left"/>
              <w:rPr>
                <w:rFonts w:eastAsia="Times New Roman" w:cs="Calibri"/>
                <w:color w:val="000000"/>
                <w:sz w:val="16"/>
                <w:szCs w:val="16"/>
                <w:lang w:val="en-US" w:eastAsia="it-IT"/>
              </w:rPr>
            </w:pPr>
            <w:r w:rsidRPr="00D66F0A">
              <w:rPr>
                <w:rFonts w:eastAsia="Times New Roman" w:cs="Calibri"/>
                <w:color w:val="000000"/>
                <w:sz w:val="16"/>
                <w:szCs w:val="16"/>
                <w:lang w:val="en-US" w:eastAsia="it-IT"/>
              </w:rPr>
              <w:t>Manufacture of motor vehicles, trailers, semi-trailers and of other transport equipment</w:t>
            </w:r>
          </w:p>
        </w:tc>
        <w:tc>
          <w:tcPr>
            <w:tcW w:w="302" w:type="pct"/>
            <w:tcBorders>
              <w:top w:val="nil"/>
              <w:left w:val="nil"/>
              <w:bottom w:val="nil"/>
              <w:right w:val="nil"/>
            </w:tcBorders>
            <w:shd w:val="clear" w:color="auto" w:fill="auto"/>
            <w:noWrap/>
            <w:vAlign w:val="center"/>
            <w:hideMark/>
          </w:tcPr>
          <w:p w:rsidR="00D66F0A" w:rsidRPr="00D66F0A" w:rsidRDefault="00D66F0A" w:rsidP="00C33F57">
            <w:pPr>
              <w:jc w:val="right"/>
              <w:rPr>
                <w:rFonts w:eastAsia="Times New Roman" w:cs="Calibri"/>
                <w:b/>
                <w:bCs/>
                <w:color w:val="4F6228"/>
                <w:sz w:val="16"/>
                <w:szCs w:val="16"/>
                <w:lang w:eastAsia="it-IT"/>
              </w:rPr>
            </w:pPr>
            <w:r w:rsidRPr="00D66F0A">
              <w:rPr>
                <w:rFonts w:eastAsia="Times New Roman" w:cs="Calibri"/>
                <w:b/>
                <w:bCs/>
                <w:color w:val="4F6228"/>
                <w:sz w:val="16"/>
                <w:szCs w:val="16"/>
                <w:lang w:eastAsia="it-IT"/>
              </w:rPr>
              <w:t>7.8</w:t>
            </w:r>
          </w:p>
        </w:tc>
        <w:tc>
          <w:tcPr>
            <w:tcW w:w="576" w:type="pct"/>
            <w:tcBorders>
              <w:top w:val="nil"/>
              <w:left w:val="nil"/>
              <w:bottom w:val="nil"/>
              <w:right w:val="dashed" w:sz="8" w:space="0" w:color="76933C"/>
            </w:tcBorders>
            <w:shd w:val="clear" w:color="auto" w:fill="auto"/>
            <w:noWrap/>
            <w:vAlign w:val="center"/>
            <w:hideMark/>
          </w:tcPr>
          <w:p w:rsidR="00D66F0A" w:rsidRPr="00D66F0A" w:rsidRDefault="00D66F0A" w:rsidP="00C33F57">
            <w:pPr>
              <w:jc w:val="right"/>
              <w:rPr>
                <w:rFonts w:eastAsia="Times New Roman" w:cs="Calibri"/>
                <w:b/>
                <w:bCs/>
                <w:color w:val="4F6228"/>
                <w:sz w:val="16"/>
                <w:szCs w:val="16"/>
                <w:lang w:eastAsia="it-IT"/>
              </w:rPr>
            </w:pPr>
            <w:r w:rsidRPr="00D66F0A">
              <w:rPr>
                <w:rFonts w:eastAsia="Times New Roman" w:cs="Calibri"/>
                <w:b/>
                <w:bCs/>
                <w:color w:val="4F6228"/>
                <w:sz w:val="16"/>
                <w:szCs w:val="16"/>
                <w:lang w:eastAsia="it-IT"/>
              </w:rPr>
              <w:t>-4.2</w:t>
            </w:r>
          </w:p>
        </w:tc>
        <w:tc>
          <w:tcPr>
            <w:tcW w:w="352" w:type="pct"/>
            <w:tcBorders>
              <w:top w:val="nil"/>
              <w:left w:val="nil"/>
              <w:bottom w:val="nil"/>
              <w:right w:val="nil"/>
            </w:tcBorders>
            <w:shd w:val="clear" w:color="auto" w:fill="auto"/>
            <w:noWrap/>
            <w:vAlign w:val="center"/>
            <w:hideMark/>
          </w:tcPr>
          <w:p w:rsidR="00D66F0A" w:rsidRPr="00D66F0A" w:rsidRDefault="00D66F0A" w:rsidP="00C33F57">
            <w:pPr>
              <w:jc w:val="right"/>
              <w:rPr>
                <w:rFonts w:eastAsia="Times New Roman" w:cs="Calibri"/>
                <w:color w:val="000000"/>
                <w:sz w:val="16"/>
                <w:szCs w:val="16"/>
                <w:lang w:eastAsia="it-IT"/>
              </w:rPr>
            </w:pPr>
            <w:r w:rsidRPr="00D66F0A">
              <w:rPr>
                <w:rFonts w:eastAsia="Times New Roman" w:cs="Calibri"/>
                <w:color w:val="000000"/>
                <w:sz w:val="16"/>
                <w:szCs w:val="16"/>
                <w:lang w:eastAsia="it-IT"/>
              </w:rPr>
              <w:t>37.7</w:t>
            </w:r>
          </w:p>
        </w:tc>
        <w:tc>
          <w:tcPr>
            <w:tcW w:w="569" w:type="pct"/>
            <w:tcBorders>
              <w:top w:val="nil"/>
              <w:left w:val="nil"/>
              <w:bottom w:val="nil"/>
              <w:right w:val="nil"/>
            </w:tcBorders>
            <w:shd w:val="clear" w:color="auto" w:fill="auto"/>
            <w:noWrap/>
            <w:vAlign w:val="center"/>
            <w:hideMark/>
          </w:tcPr>
          <w:p w:rsidR="00D66F0A" w:rsidRPr="00D66F0A" w:rsidRDefault="00D66F0A" w:rsidP="00C33F57">
            <w:pPr>
              <w:jc w:val="right"/>
              <w:rPr>
                <w:rFonts w:eastAsia="Times New Roman" w:cs="Calibri"/>
                <w:color w:val="000000"/>
                <w:sz w:val="16"/>
                <w:szCs w:val="16"/>
                <w:lang w:eastAsia="it-IT"/>
              </w:rPr>
            </w:pPr>
            <w:r w:rsidRPr="00D66F0A">
              <w:rPr>
                <w:rFonts w:eastAsia="Times New Roman" w:cs="Calibri"/>
                <w:color w:val="000000"/>
                <w:sz w:val="16"/>
                <w:szCs w:val="16"/>
                <w:lang w:eastAsia="it-IT"/>
              </w:rPr>
              <w:t>5.4</w:t>
            </w:r>
          </w:p>
        </w:tc>
      </w:tr>
      <w:tr w:rsidR="00D66F0A" w:rsidRPr="00D66F0A" w:rsidTr="00C33F57">
        <w:trPr>
          <w:trHeight w:val="300"/>
        </w:trPr>
        <w:tc>
          <w:tcPr>
            <w:tcW w:w="3201" w:type="pct"/>
            <w:tcBorders>
              <w:top w:val="nil"/>
              <w:left w:val="nil"/>
              <w:bottom w:val="nil"/>
              <w:right w:val="dashed" w:sz="8" w:space="0" w:color="76933C"/>
            </w:tcBorders>
            <w:shd w:val="clear" w:color="auto" w:fill="auto"/>
            <w:noWrap/>
            <w:vAlign w:val="center"/>
            <w:hideMark/>
          </w:tcPr>
          <w:p w:rsidR="00D66F0A" w:rsidRPr="00D66F0A" w:rsidRDefault="00D66F0A" w:rsidP="00D66F0A">
            <w:pPr>
              <w:jc w:val="left"/>
              <w:rPr>
                <w:rFonts w:eastAsia="Times New Roman" w:cs="Calibri"/>
                <w:color w:val="000000"/>
                <w:sz w:val="16"/>
                <w:szCs w:val="16"/>
                <w:lang w:eastAsia="it-IT"/>
              </w:rPr>
            </w:pPr>
            <w:proofErr w:type="spellStart"/>
            <w:r w:rsidRPr="00D66F0A">
              <w:rPr>
                <w:rFonts w:eastAsia="Times New Roman" w:cs="Calibri"/>
                <w:color w:val="000000"/>
                <w:sz w:val="16"/>
                <w:szCs w:val="16"/>
                <w:lang w:eastAsia="it-IT"/>
              </w:rPr>
              <w:t>Other</w:t>
            </w:r>
            <w:proofErr w:type="spellEnd"/>
            <w:r w:rsidRPr="00D66F0A">
              <w:rPr>
                <w:rFonts w:eastAsia="Times New Roman" w:cs="Calibri"/>
                <w:color w:val="000000"/>
                <w:sz w:val="16"/>
                <w:szCs w:val="16"/>
                <w:lang w:eastAsia="it-IT"/>
              </w:rPr>
              <w:t xml:space="preserve"> manufacturing</w:t>
            </w:r>
          </w:p>
        </w:tc>
        <w:tc>
          <w:tcPr>
            <w:tcW w:w="302" w:type="pct"/>
            <w:tcBorders>
              <w:top w:val="nil"/>
              <w:left w:val="nil"/>
              <w:bottom w:val="nil"/>
              <w:right w:val="nil"/>
            </w:tcBorders>
            <w:shd w:val="clear" w:color="auto" w:fill="auto"/>
            <w:noWrap/>
            <w:vAlign w:val="center"/>
            <w:hideMark/>
          </w:tcPr>
          <w:p w:rsidR="00D66F0A" w:rsidRPr="00D66F0A" w:rsidRDefault="00D66F0A" w:rsidP="00C33F57">
            <w:pPr>
              <w:jc w:val="right"/>
              <w:rPr>
                <w:rFonts w:eastAsia="Times New Roman" w:cs="Calibri"/>
                <w:b/>
                <w:bCs/>
                <w:color w:val="4F6228"/>
                <w:sz w:val="16"/>
                <w:szCs w:val="16"/>
                <w:lang w:eastAsia="it-IT"/>
              </w:rPr>
            </w:pPr>
            <w:r w:rsidRPr="00D66F0A">
              <w:rPr>
                <w:rFonts w:eastAsia="Times New Roman" w:cs="Calibri"/>
                <w:b/>
                <w:bCs/>
                <w:color w:val="4F6228"/>
                <w:sz w:val="16"/>
                <w:szCs w:val="16"/>
                <w:lang w:eastAsia="it-IT"/>
              </w:rPr>
              <w:t>0.8</w:t>
            </w:r>
          </w:p>
        </w:tc>
        <w:tc>
          <w:tcPr>
            <w:tcW w:w="576" w:type="pct"/>
            <w:tcBorders>
              <w:top w:val="nil"/>
              <w:left w:val="nil"/>
              <w:right w:val="dashed" w:sz="8" w:space="0" w:color="76933C"/>
            </w:tcBorders>
            <w:shd w:val="clear" w:color="auto" w:fill="auto"/>
            <w:noWrap/>
            <w:vAlign w:val="center"/>
            <w:hideMark/>
          </w:tcPr>
          <w:p w:rsidR="00D66F0A" w:rsidRPr="00D66F0A" w:rsidRDefault="00D66F0A" w:rsidP="00C33F57">
            <w:pPr>
              <w:jc w:val="right"/>
              <w:rPr>
                <w:rFonts w:eastAsia="Times New Roman" w:cs="Calibri"/>
                <w:b/>
                <w:bCs/>
                <w:color w:val="4F6228"/>
                <w:sz w:val="16"/>
                <w:szCs w:val="16"/>
                <w:lang w:eastAsia="it-IT"/>
              </w:rPr>
            </w:pPr>
            <w:r w:rsidRPr="00D66F0A">
              <w:rPr>
                <w:rFonts w:eastAsia="Times New Roman" w:cs="Calibri"/>
                <w:b/>
                <w:bCs/>
                <w:color w:val="4F6228"/>
                <w:sz w:val="16"/>
                <w:szCs w:val="16"/>
                <w:lang w:eastAsia="it-IT"/>
              </w:rPr>
              <w:t>2.1</w:t>
            </w:r>
          </w:p>
        </w:tc>
        <w:tc>
          <w:tcPr>
            <w:tcW w:w="352" w:type="pct"/>
            <w:tcBorders>
              <w:top w:val="nil"/>
              <w:left w:val="nil"/>
              <w:right w:val="nil"/>
            </w:tcBorders>
            <w:shd w:val="clear" w:color="auto" w:fill="auto"/>
            <w:noWrap/>
            <w:vAlign w:val="center"/>
            <w:hideMark/>
          </w:tcPr>
          <w:p w:rsidR="00D66F0A" w:rsidRPr="00D66F0A" w:rsidRDefault="00D66F0A" w:rsidP="00C33F57">
            <w:pPr>
              <w:jc w:val="right"/>
              <w:rPr>
                <w:rFonts w:eastAsia="Times New Roman" w:cs="Calibri"/>
                <w:color w:val="000000"/>
                <w:sz w:val="16"/>
                <w:szCs w:val="16"/>
                <w:lang w:eastAsia="it-IT"/>
              </w:rPr>
            </w:pPr>
            <w:r w:rsidRPr="00D66F0A">
              <w:rPr>
                <w:rFonts w:eastAsia="Times New Roman" w:cs="Calibri"/>
                <w:color w:val="000000"/>
                <w:sz w:val="16"/>
                <w:szCs w:val="16"/>
                <w:lang w:eastAsia="it-IT"/>
              </w:rPr>
              <w:t>19.1</w:t>
            </w:r>
          </w:p>
        </w:tc>
        <w:tc>
          <w:tcPr>
            <w:tcW w:w="569" w:type="pct"/>
            <w:tcBorders>
              <w:top w:val="nil"/>
              <w:left w:val="nil"/>
              <w:right w:val="nil"/>
            </w:tcBorders>
            <w:shd w:val="clear" w:color="auto" w:fill="auto"/>
            <w:noWrap/>
            <w:vAlign w:val="center"/>
            <w:hideMark/>
          </w:tcPr>
          <w:p w:rsidR="00D66F0A" w:rsidRPr="00D66F0A" w:rsidRDefault="00D66F0A" w:rsidP="00C33F57">
            <w:pPr>
              <w:jc w:val="right"/>
              <w:rPr>
                <w:rFonts w:eastAsia="Times New Roman" w:cs="Calibri"/>
                <w:color w:val="000000"/>
                <w:sz w:val="16"/>
                <w:szCs w:val="16"/>
                <w:lang w:eastAsia="it-IT"/>
              </w:rPr>
            </w:pPr>
            <w:r w:rsidRPr="00D66F0A">
              <w:rPr>
                <w:rFonts w:eastAsia="Times New Roman" w:cs="Calibri"/>
                <w:color w:val="000000"/>
                <w:sz w:val="16"/>
                <w:szCs w:val="16"/>
                <w:lang w:eastAsia="it-IT"/>
              </w:rPr>
              <w:t>5.9</w:t>
            </w:r>
          </w:p>
        </w:tc>
      </w:tr>
      <w:tr w:rsidR="00D66F0A" w:rsidRPr="00D66F0A" w:rsidTr="00C33F57">
        <w:trPr>
          <w:trHeight w:val="315"/>
        </w:trPr>
        <w:tc>
          <w:tcPr>
            <w:tcW w:w="3201" w:type="pct"/>
            <w:tcBorders>
              <w:top w:val="nil"/>
              <w:left w:val="nil"/>
              <w:bottom w:val="single" w:sz="8" w:space="0" w:color="4F6228"/>
              <w:right w:val="dashed" w:sz="8" w:space="0" w:color="4F6228"/>
            </w:tcBorders>
            <w:shd w:val="clear" w:color="auto" w:fill="auto"/>
            <w:noWrap/>
            <w:vAlign w:val="center"/>
            <w:hideMark/>
          </w:tcPr>
          <w:p w:rsidR="00D66F0A" w:rsidRPr="00D66F0A" w:rsidRDefault="00D66F0A" w:rsidP="00D66F0A">
            <w:pPr>
              <w:jc w:val="left"/>
              <w:rPr>
                <w:rFonts w:eastAsia="Times New Roman" w:cs="Calibri"/>
                <w:color w:val="000000"/>
                <w:sz w:val="16"/>
                <w:szCs w:val="16"/>
                <w:lang w:eastAsia="it-IT"/>
              </w:rPr>
            </w:pPr>
            <w:r w:rsidRPr="00D66F0A">
              <w:rPr>
                <w:rFonts w:eastAsia="Times New Roman" w:cs="Calibri"/>
                <w:color w:val="000000"/>
                <w:sz w:val="16"/>
                <w:szCs w:val="16"/>
                <w:lang w:eastAsia="it-IT"/>
              </w:rPr>
              <w:t>Total Manufacturing</w:t>
            </w:r>
          </w:p>
        </w:tc>
        <w:tc>
          <w:tcPr>
            <w:tcW w:w="302" w:type="pct"/>
            <w:tcBorders>
              <w:top w:val="nil"/>
              <w:left w:val="nil"/>
              <w:bottom w:val="single" w:sz="8" w:space="0" w:color="4F6228"/>
              <w:right w:val="nil"/>
            </w:tcBorders>
            <w:shd w:val="clear" w:color="auto" w:fill="auto"/>
            <w:noWrap/>
            <w:vAlign w:val="center"/>
            <w:hideMark/>
          </w:tcPr>
          <w:p w:rsidR="00D66F0A" w:rsidRPr="00D66F0A" w:rsidRDefault="00D66F0A" w:rsidP="00C33F57">
            <w:pPr>
              <w:jc w:val="right"/>
              <w:rPr>
                <w:rFonts w:eastAsia="Times New Roman" w:cs="Calibri"/>
                <w:b/>
                <w:bCs/>
                <w:color w:val="4F6228"/>
                <w:sz w:val="16"/>
                <w:szCs w:val="16"/>
                <w:lang w:eastAsia="it-IT"/>
              </w:rPr>
            </w:pPr>
            <w:r w:rsidRPr="00D66F0A">
              <w:rPr>
                <w:rFonts w:eastAsia="Times New Roman" w:cs="Calibri"/>
                <w:b/>
                <w:bCs/>
                <w:color w:val="4F6228"/>
                <w:sz w:val="16"/>
                <w:szCs w:val="16"/>
                <w:lang w:eastAsia="it-IT"/>
              </w:rPr>
              <w:t>32.4</w:t>
            </w:r>
          </w:p>
        </w:tc>
        <w:tc>
          <w:tcPr>
            <w:tcW w:w="576" w:type="pct"/>
            <w:tcBorders>
              <w:top w:val="nil"/>
              <w:left w:val="nil"/>
              <w:bottom w:val="single" w:sz="4" w:space="0" w:color="auto"/>
              <w:right w:val="dashed" w:sz="8" w:space="0" w:color="76933C"/>
            </w:tcBorders>
            <w:shd w:val="clear" w:color="auto" w:fill="auto"/>
            <w:noWrap/>
            <w:vAlign w:val="center"/>
            <w:hideMark/>
          </w:tcPr>
          <w:p w:rsidR="00D66F0A" w:rsidRPr="00D66F0A" w:rsidRDefault="00D66F0A" w:rsidP="00C33F57">
            <w:pPr>
              <w:jc w:val="right"/>
              <w:rPr>
                <w:rFonts w:eastAsia="Times New Roman" w:cs="Calibri"/>
                <w:b/>
                <w:bCs/>
                <w:color w:val="4F6228"/>
                <w:sz w:val="16"/>
                <w:szCs w:val="16"/>
                <w:lang w:eastAsia="it-IT"/>
              </w:rPr>
            </w:pPr>
            <w:r w:rsidRPr="00D66F0A">
              <w:rPr>
                <w:rFonts w:eastAsia="Times New Roman" w:cs="Calibri"/>
                <w:b/>
                <w:bCs/>
                <w:color w:val="4F6228"/>
                <w:sz w:val="16"/>
                <w:szCs w:val="16"/>
                <w:lang w:eastAsia="it-IT"/>
              </w:rPr>
              <w:t>8.6</w:t>
            </w:r>
          </w:p>
        </w:tc>
        <w:tc>
          <w:tcPr>
            <w:tcW w:w="352" w:type="pct"/>
            <w:tcBorders>
              <w:top w:val="nil"/>
              <w:left w:val="nil"/>
              <w:bottom w:val="single" w:sz="4" w:space="0" w:color="auto"/>
              <w:right w:val="nil"/>
            </w:tcBorders>
            <w:shd w:val="clear" w:color="auto" w:fill="auto"/>
            <w:noWrap/>
            <w:vAlign w:val="center"/>
            <w:hideMark/>
          </w:tcPr>
          <w:p w:rsidR="00D66F0A" w:rsidRPr="00D66F0A" w:rsidRDefault="00D66F0A" w:rsidP="00C33F57">
            <w:pPr>
              <w:jc w:val="right"/>
              <w:rPr>
                <w:rFonts w:eastAsia="Times New Roman" w:cs="Calibri"/>
                <w:color w:val="000000"/>
                <w:sz w:val="16"/>
                <w:szCs w:val="16"/>
                <w:lang w:eastAsia="it-IT"/>
              </w:rPr>
            </w:pPr>
            <w:r w:rsidRPr="00D66F0A">
              <w:rPr>
                <w:rFonts w:eastAsia="Times New Roman" w:cs="Calibri"/>
                <w:color w:val="000000"/>
                <w:sz w:val="16"/>
                <w:szCs w:val="16"/>
                <w:lang w:eastAsia="it-IT"/>
              </w:rPr>
              <w:t>317.4</w:t>
            </w:r>
          </w:p>
        </w:tc>
        <w:tc>
          <w:tcPr>
            <w:tcW w:w="569" w:type="pct"/>
            <w:tcBorders>
              <w:top w:val="nil"/>
              <w:left w:val="nil"/>
              <w:bottom w:val="single" w:sz="4" w:space="0" w:color="auto"/>
              <w:right w:val="nil"/>
            </w:tcBorders>
            <w:shd w:val="clear" w:color="auto" w:fill="auto"/>
            <w:noWrap/>
            <w:vAlign w:val="center"/>
            <w:hideMark/>
          </w:tcPr>
          <w:p w:rsidR="00D66F0A" w:rsidRPr="00D66F0A" w:rsidRDefault="00D66F0A" w:rsidP="00C33F57">
            <w:pPr>
              <w:jc w:val="right"/>
              <w:rPr>
                <w:rFonts w:eastAsia="Times New Roman" w:cs="Calibri"/>
                <w:color w:val="000000"/>
                <w:sz w:val="16"/>
                <w:szCs w:val="16"/>
                <w:lang w:eastAsia="it-IT"/>
              </w:rPr>
            </w:pPr>
            <w:r w:rsidRPr="00D66F0A">
              <w:rPr>
                <w:rFonts w:eastAsia="Times New Roman" w:cs="Calibri"/>
                <w:color w:val="000000"/>
                <w:sz w:val="16"/>
                <w:szCs w:val="16"/>
                <w:lang w:eastAsia="it-IT"/>
              </w:rPr>
              <w:t>7.2</w:t>
            </w:r>
          </w:p>
        </w:tc>
      </w:tr>
    </w:tbl>
    <w:p w:rsidR="00D4748D" w:rsidRPr="00D4748D" w:rsidRDefault="00D4748D" w:rsidP="00D4748D">
      <w:pPr>
        <w:spacing w:after="120"/>
        <w:rPr>
          <w:rFonts w:asciiTheme="majorHAnsi" w:hAnsiTheme="majorHAnsi"/>
          <w:sz w:val="18"/>
          <w:szCs w:val="18"/>
          <w:lang w:val="en-US"/>
        </w:rPr>
      </w:pPr>
      <w:r>
        <w:rPr>
          <w:rFonts w:asciiTheme="majorHAnsi" w:hAnsiTheme="majorHAnsi"/>
          <w:sz w:val="18"/>
          <w:szCs w:val="18"/>
          <w:lang w:val="en-US"/>
        </w:rPr>
        <w:t>Source</w:t>
      </w:r>
      <w:r w:rsidRPr="00D4748D">
        <w:rPr>
          <w:rFonts w:asciiTheme="majorHAnsi" w:hAnsiTheme="majorHAnsi"/>
          <w:sz w:val="18"/>
          <w:szCs w:val="18"/>
          <w:lang w:val="en-US"/>
        </w:rPr>
        <w:t xml:space="preserve">: Confindustria and SRM elaborations on </w:t>
      </w:r>
      <w:proofErr w:type="spellStart"/>
      <w:r>
        <w:rPr>
          <w:rFonts w:asciiTheme="majorHAnsi" w:hAnsiTheme="majorHAnsi"/>
          <w:sz w:val="18"/>
          <w:szCs w:val="18"/>
          <w:lang w:val="en-US"/>
        </w:rPr>
        <w:t>Istat</w:t>
      </w:r>
      <w:proofErr w:type="spellEnd"/>
      <w:r w:rsidRPr="00D4748D">
        <w:rPr>
          <w:rFonts w:asciiTheme="majorHAnsi" w:hAnsiTheme="majorHAnsi"/>
          <w:sz w:val="18"/>
          <w:szCs w:val="18"/>
          <w:lang w:val="en-US"/>
        </w:rPr>
        <w:t xml:space="preserve"> data</w:t>
      </w:r>
    </w:p>
    <w:p w:rsidR="00234F4D" w:rsidRPr="00D4748D" w:rsidRDefault="00234F4D" w:rsidP="007F4FFE">
      <w:pPr>
        <w:shd w:val="clear" w:color="auto" w:fill="FFFFFF"/>
        <w:spacing w:after="120"/>
        <w:rPr>
          <w:rFonts w:asciiTheme="majorHAnsi" w:hAnsiTheme="majorHAnsi"/>
          <w:b/>
          <w:lang w:val="en-US"/>
        </w:rPr>
      </w:pPr>
    </w:p>
    <w:p w:rsidR="003E4FC7" w:rsidRPr="00B369E8" w:rsidRDefault="00B369E8" w:rsidP="00432E86">
      <w:pPr>
        <w:spacing w:after="120"/>
        <w:jc w:val="center"/>
        <w:rPr>
          <w:rFonts w:ascii="Helvetica" w:hAnsi="Helvetica"/>
          <w:b/>
          <w:color w:val="1F497D"/>
          <w:lang w:val="en-US"/>
        </w:rPr>
      </w:pPr>
      <w:r w:rsidRPr="00B369E8">
        <w:rPr>
          <w:rFonts w:asciiTheme="majorHAnsi" w:hAnsiTheme="majorHAnsi"/>
          <w:b/>
          <w:lang w:val="en-US"/>
        </w:rPr>
        <w:t xml:space="preserve">Regional distribution of companies that subscribed to a networking contract (December 2017) </w:t>
      </w:r>
      <w:r w:rsidR="00D66F0A">
        <w:rPr>
          <w:rFonts w:ascii="Helvetica" w:hAnsi="Helvetica"/>
          <w:b/>
          <w:noProof/>
          <w:color w:val="1F497D"/>
          <w:lang w:eastAsia="it-IT"/>
        </w:rPr>
        <w:drawing>
          <wp:inline distT="0" distB="0" distL="0" distR="0" wp14:anchorId="31705540">
            <wp:extent cx="6047149" cy="2596896"/>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54877" cy="2600215"/>
                    </a:xfrm>
                    <a:prstGeom prst="rect">
                      <a:avLst/>
                    </a:prstGeom>
                    <a:noFill/>
                  </pic:spPr>
                </pic:pic>
              </a:graphicData>
            </a:graphic>
          </wp:inline>
        </w:drawing>
      </w:r>
    </w:p>
    <w:p w:rsidR="00D4748D" w:rsidRPr="00D4748D" w:rsidRDefault="00D4748D" w:rsidP="00D4748D">
      <w:pPr>
        <w:spacing w:after="120"/>
        <w:rPr>
          <w:rFonts w:asciiTheme="majorHAnsi" w:hAnsiTheme="majorHAnsi"/>
          <w:sz w:val="18"/>
          <w:szCs w:val="18"/>
          <w:lang w:val="en-US"/>
        </w:rPr>
      </w:pPr>
      <w:r>
        <w:rPr>
          <w:rFonts w:asciiTheme="majorHAnsi" w:hAnsiTheme="majorHAnsi"/>
          <w:sz w:val="18"/>
          <w:szCs w:val="18"/>
          <w:lang w:val="en-US"/>
        </w:rPr>
        <w:t>Source</w:t>
      </w:r>
      <w:r w:rsidRPr="00D4748D">
        <w:rPr>
          <w:rFonts w:asciiTheme="majorHAnsi" w:hAnsiTheme="majorHAnsi"/>
          <w:sz w:val="18"/>
          <w:szCs w:val="18"/>
          <w:lang w:val="en-US"/>
        </w:rPr>
        <w:t xml:space="preserve">: Confindustria and SRM elaborations on </w:t>
      </w:r>
      <w:proofErr w:type="spellStart"/>
      <w:r w:rsidRPr="00D4748D">
        <w:rPr>
          <w:rFonts w:asciiTheme="majorHAnsi" w:hAnsiTheme="majorHAnsi"/>
          <w:sz w:val="18"/>
          <w:szCs w:val="18"/>
          <w:lang w:val="en-US"/>
        </w:rPr>
        <w:t>Retimpresa</w:t>
      </w:r>
      <w:proofErr w:type="spellEnd"/>
      <w:r w:rsidRPr="00D4748D">
        <w:rPr>
          <w:rFonts w:asciiTheme="majorHAnsi" w:hAnsiTheme="majorHAnsi"/>
          <w:sz w:val="18"/>
          <w:szCs w:val="18"/>
          <w:lang w:val="en-US"/>
        </w:rPr>
        <w:t xml:space="preserve"> and </w:t>
      </w:r>
      <w:proofErr w:type="spellStart"/>
      <w:r w:rsidRPr="00D4748D">
        <w:rPr>
          <w:rFonts w:asciiTheme="majorHAnsi" w:hAnsiTheme="majorHAnsi"/>
          <w:sz w:val="18"/>
          <w:szCs w:val="18"/>
          <w:lang w:val="en-US"/>
        </w:rPr>
        <w:t>Infocamere</w:t>
      </w:r>
      <w:proofErr w:type="spellEnd"/>
      <w:r w:rsidRPr="00D4748D">
        <w:rPr>
          <w:rFonts w:asciiTheme="majorHAnsi" w:hAnsiTheme="majorHAnsi"/>
          <w:sz w:val="18"/>
          <w:szCs w:val="18"/>
          <w:lang w:val="en-US"/>
        </w:rPr>
        <w:t xml:space="preserve"> data</w:t>
      </w:r>
    </w:p>
    <w:p w:rsidR="0070300A" w:rsidRPr="00D4748D" w:rsidRDefault="0070300A" w:rsidP="009950C9">
      <w:pPr>
        <w:shd w:val="clear" w:color="auto" w:fill="FFFFFF"/>
        <w:spacing w:after="120"/>
        <w:rPr>
          <w:rFonts w:asciiTheme="majorHAnsi" w:hAnsiTheme="majorHAnsi"/>
          <w:b/>
          <w:lang w:val="en-US"/>
        </w:rPr>
      </w:pPr>
    </w:p>
    <w:p w:rsidR="009914C2" w:rsidRDefault="009914C2" w:rsidP="009950C9">
      <w:pPr>
        <w:shd w:val="clear" w:color="auto" w:fill="FFFFFF"/>
        <w:spacing w:after="120"/>
        <w:rPr>
          <w:rFonts w:asciiTheme="majorHAnsi" w:hAnsiTheme="majorHAnsi"/>
          <w:b/>
          <w:lang w:val="en-US"/>
        </w:rPr>
      </w:pPr>
    </w:p>
    <w:p w:rsidR="00CF36FD" w:rsidRDefault="00CF36FD" w:rsidP="009950C9">
      <w:pPr>
        <w:shd w:val="clear" w:color="auto" w:fill="FFFFFF"/>
        <w:spacing w:after="120"/>
        <w:rPr>
          <w:rFonts w:asciiTheme="majorHAnsi" w:hAnsiTheme="majorHAnsi"/>
          <w:b/>
          <w:lang w:val="en-US"/>
        </w:rPr>
      </w:pPr>
    </w:p>
    <w:p w:rsidR="00CF36FD" w:rsidRDefault="00CF36FD" w:rsidP="009950C9">
      <w:pPr>
        <w:shd w:val="clear" w:color="auto" w:fill="FFFFFF"/>
        <w:spacing w:after="120"/>
        <w:rPr>
          <w:rFonts w:asciiTheme="majorHAnsi" w:hAnsiTheme="majorHAnsi"/>
          <w:b/>
          <w:lang w:val="en-US"/>
        </w:rPr>
      </w:pPr>
    </w:p>
    <w:p w:rsidR="00CF36FD" w:rsidRDefault="00CF36FD" w:rsidP="009950C9">
      <w:pPr>
        <w:shd w:val="clear" w:color="auto" w:fill="FFFFFF"/>
        <w:spacing w:after="120"/>
        <w:rPr>
          <w:rFonts w:asciiTheme="majorHAnsi" w:hAnsiTheme="majorHAnsi"/>
          <w:b/>
          <w:lang w:val="en-US"/>
        </w:rPr>
      </w:pPr>
    </w:p>
    <w:p w:rsidR="003914E4" w:rsidRDefault="003914E4" w:rsidP="009950C9">
      <w:pPr>
        <w:shd w:val="clear" w:color="auto" w:fill="FFFFFF"/>
        <w:spacing w:after="120"/>
        <w:rPr>
          <w:rFonts w:asciiTheme="majorHAnsi" w:hAnsiTheme="majorHAnsi"/>
          <w:b/>
          <w:lang w:val="en-US"/>
        </w:rPr>
      </w:pPr>
    </w:p>
    <w:p w:rsidR="00CF36FD" w:rsidRDefault="00CF36FD" w:rsidP="009950C9">
      <w:pPr>
        <w:shd w:val="clear" w:color="auto" w:fill="FFFFFF"/>
        <w:spacing w:after="120"/>
        <w:rPr>
          <w:rFonts w:asciiTheme="majorHAnsi" w:hAnsiTheme="majorHAnsi"/>
          <w:b/>
          <w:lang w:val="en-US"/>
        </w:rPr>
      </w:pPr>
    </w:p>
    <w:p w:rsidR="00CF36FD" w:rsidRPr="00D4748D" w:rsidRDefault="00CF36FD" w:rsidP="009950C9">
      <w:pPr>
        <w:shd w:val="clear" w:color="auto" w:fill="FFFFFF"/>
        <w:spacing w:after="120"/>
        <w:rPr>
          <w:rFonts w:asciiTheme="majorHAnsi" w:hAnsiTheme="majorHAnsi"/>
          <w:b/>
          <w:lang w:val="en-US"/>
        </w:rPr>
      </w:pPr>
    </w:p>
    <w:p w:rsidR="009914C2" w:rsidRPr="00D4748D" w:rsidRDefault="009914C2" w:rsidP="009950C9">
      <w:pPr>
        <w:shd w:val="clear" w:color="auto" w:fill="FFFFFF"/>
        <w:spacing w:after="120"/>
        <w:rPr>
          <w:rFonts w:asciiTheme="majorHAnsi" w:hAnsiTheme="majorHAnsi"/>
          <w:b/>
          <w:lang w:val="en-US"/>
        </w:rPr>
      </w:pPr>
    </w:p>
    <w:p w:rsidR="009950C9" w:rsidRPr="003914E4" w:rsidRDefault="003914E4" w:rsidP="009950C9">
      <w:pPr>
        <w:shd w:val="clear" w:color="auto" w:fill="FFFFFF"/>
        <w:spacing w:after="120"/>
        <w:rPr>
          <w:rFonts w:asciiTheme="majorHAnsi" w:hAnsiTheme="majorHAnsi"/>
          <w:b/>
          <w:lang w:val="en-US"/>
        </w:rPr>
      </w:pPr>
      <w:r w:rsidRPr="003914E4">
        <w:rPr>
          <w:rFonts w:asciiTheme="majorHAnsi" w:hAnsiTheme="majorHAnsi"/>
          <w:b/>
          <w:lang w:val="en-US"/>
        </w:rPr>
        <w:lastRenderedPageBreak/>
        <w:t>Innovative Start-ups* in Southern regions, absolute values and % composition (II trimester 2017 vs II trimester 2016)</w:t>
      </w:r>
    </w:p>
    <w:tbl>
      <w:tblPr>
        <w:tblW w:w="5000" w:type="pct"/>
        <w:tblCellMar>
          <w:left w:w="70" w:type="dxa"/>
          <w:right w:w="70" w:type="dxa"/>
        </w:tblCellMar>
        <w:tblLook w:val="04A0" w:firstRow="1" w:lastRow="0" w:firstColumn="1" w:lastColumn="0" w:noHBand="0" w:noVBand="1"/>
      </w:tblPr>
      <w:tblGrid>
        <w:gridCol w:w="3122"/>
        <w:gridCol w:w="1609"/>
        <w:gridCol w:w="1584"/>
        <w:gridCol w:w="1658"/>
        <w:gridCol w:w="1805"/>
      </w:tblGrid>
      <w:tr w:rsidR="00D66F0A" w:rsidRPr="00F618D8" w:rsidTr="00D66F0A">
        <w:trPr>
          <w:trHeight w:val="510"/>
        </w:trPr>
        <w:tc>
          <w:tcPr>
            <w:tcW w:w="1596" w:type="pct"/>
            <w:vMerge w:val="restart"/>
            <w:tcBorders>
              <w:top w:val="nil"/>
              <w:left w:val="nil"/>
              <w:bottom w:val="nil"/>
              <w:right w:val="nil"/>
            </w:tcBorders>
            <w:shd w:val="clear" w:color="000000" w:fill="1F497D"/>
            <w:vAlign w:val="center"/>
            <w:hideMark/>
          </w:tcPr>
          <w:p w:rsidR="00D66F0A" w:rsidRPr="003914E4" w:rsidRDefault="00D66F0A" w:rsidP="00D66F0A">
            <w:pPr>
              <w:jc w:val="left"/>
              <w:rPr>
                <w:rFonts w:asciiTheme="minorHAnsi" w:eastAsia="Times New Roman" w:hAnsiTheme="minorHAnsi" w:cstheme="minorHAnsi"/>
                <w:color w:val="000000"/>
                <w:sz w:val="20"/>
                <w:szCs w:val="20"/>
                <w:lang w:val="en-US" w:eastAsia="it-IT"/>
              </w:rPr>
            </w:pPr>
            <w:r w:rsidRPr="003914E4">
              <w:rPr>
                <w:rFonts w:asciiTheme="minorHAnsi" w:eastAsia="Times New Roman" w:hAnsiTheme="minorHAnsi" w:cstheme="minorHAnsi"/>
                <w:color w:val="000000"/>
                <w:sz w:val="20"/>
                <w:szCs w:val="20"/>
                <w:lang w:val="en-US" w:eastAsia="it-IT"/>
              </w:rPr>
              <w:t> </w:t>
            </w:r>
          </w:p>
        </w:tc>
        <w:tc>
          <w:tcPr>
            <w:tcW w:w="823" w:type="pct"/>
            <w:tcBorders>
              <w:top w:val="nil"/>
              <w:left w:val="nil"/>
              <w:bottom w:val="nil"/>
              <w:right w:val="nil"/>
            </w:tcBorders>
            <w:shd w:val="clear" w:color="000000" w:fill="1F497D"/>
            <w:vAlign w:val="center"/>
            <w:hideMark/>
          </w:tcPr>
          <w:p w:rsidR="00D66F0A" w:rsidRPr="00CF36FD" w:rsidRDefault="00D66F0A" w:rsidP="00D66F0A">
            <w:pPr>
              <w:jc w:val="center"/>
              <w:rPr>
                <w:rFonts w:asciiTheme="minorHAnsi" w:eastAsia="Times New Roman" w:hAnsiTheme="minorHAnsi" w:cstheme="minorHAnsi"/>
                <w:color w:val="FFFFFF"/>
                <w:sz w:val="20"/>
                <w:szCs w:val="20"/>
                <w:lang w:eastAsia="it-IT"/>
              </w:rPr>
            </w:pPr>
            <w:r w:rsidRPr="00CF36FD">
              <w:rPr>
                <w:rFonts w:asciiTheme="minorHAnsi" w:eastAsia="Times New Roman" w:hAnsiTheme="minorHAnsi" w:cstheme="minorHAnsi"/>
                <w:color w:val="FFFFFF"/>
                <w:sz w:val="20"/>
                <w:szCs w:val="20"/>
                <w:lang w:eastAsia="it-IT"/>
              </w:rPr>
              <w:t xml:space="preserve">Innovative </w:t>
            </w:r>
            <w:proofErr w:type="spellStart"/>
            <w:r w:rsidRPr="00CF36FD">
              <w:rPr>
                <w:rFonts w:asciiTheme="minorHAnsi" w:eastAsia="Times New Roman" w:hAnsiTheme="minorHAnsi" w:cstheme="minorHAnsi"/>
                <w:color w:val="FFFFFF"/>
                <w:sz w:val="20"/>
                <w:szCs w:val="20"/>
                <w:lang w:eastAsia="it-IT"/>
              </w:rPr>
              <w:t>Start-ups</w:t>
            </w:r>
            <w:proofErr w:type="spellEnd"/>
          </w:p>
        </w:tc>
        <w:tc>
          <w:tcPr>
            <w:tcW w:w="810" w:type="pct"/>
            <w:tcBorders>
              <w:top w:val="nil"/>
              <w:left w:val="nil"/>
              <w:bottom w:val="nil"/>
              <w:right w:val="nil"/>
            </w:tcBorders>
            <w:shd w:val="clear" w:color="000000" w:fill="1F497D"/>
            <w:vAlign w:val="center"/>
            <w:hideMark/>
          </w:tcPr>
          <w:p w:rsidR="00D66F0A" w:rsidRPr="00CF36FD" w:rsidRDefault="00D66F0A" w:rsidP="00D66F0A">
            <w:pPr>
              <w:jc w:val="center"/>
              <w:rPr>
                <w:rFonts w:asciiTheme="minorHAnsi" w:eastAsia="Times New Roman" w:hAnsiTheme="minorHAnsi" w:cstheme="minorHAnsi"/>
                <w:color w:val="FFFFFF"/>
                <w:sz w:val="20"/>
                <w:szCs w:val="20"/>
                <w:lang w:eastAsia="it-IT"/>
              </w:rPr>
            </w:pPr>
            <w:r w:rsidRPr="00CF36FD">
              <w:rPr>
                <w:rFonts w:asciiTheme="minorHAnsi" w:eastAsia="Times New Roman" w:hAnsiTheme="minorHAnsi" w:cstheme="minorHAnsi"/>
                <w:color w:val="FFFFFF"/>
                <w:sz w:val="20"/>
                <w:szCs w:val="20"/>
                <w:lang w:eastAsia="it-IT"/>
              </w:rPr>
              <w:t xml:space="preserve">Innovative </w:t>
            </w:r>
            <w:proofErr w:type="spellStart"/>
            <w:r w:rsidRPr="00CF36FD">
              <w:rPr>
                <w:rFonts w:asciiTheme="minorHAnsi" w:eastAsia="Times New Roman" w:hAnsiTheme="minorHAnsi" w:cstheme="minorHAnsi"/>
                <w:color w:val="FFFFFF"/>
                <w:sz w:val="20"/>
                <w:szCs w:val="20"/>
                <w:lang w:eastAsia="it-IT"/>
              </w:rPr>
              <w:t>Start-ups</w:t>
            </w:r>
            <w:proofErr w:type="spellEnd"/>
          </w:p>
        </w:tc>
        <w:tc>
          <w:tcPr>
            <w:tcW w:w="848" w:type="pct"/>
            <w:vMerge w:val="restart"/>
            <w:tcBorders>
              <w:top w:val="nil"/>
              <w:left w:val="nil"/>
              <w:bottom w:val="nil"/>
              <w:right w:val="nil"/>
            </w:tcBorders>
            <w:shd w:val="clear" w:color="000000" w:fill="1F497D"/>
            <w:vAlign w:val="center"/>
            <w:hideMark/>
          </w:tcPr>
          <w:p w:rsidR="00D66F0A" w:rsidRPr="00CF36FD" w:rsidRDefault="00D66F0A" w:rsidP="00D66F0A">
            <w:pPr>
              <w:jc w:val="center"/>
              <w:rPr>
                <w:rFonts w:asciiTheme="minorHAnsi" w:eastAsia="Times New Roman" w:hAnsiTheme="minorHAnsi" w:cstheme="minorHAnsi"/>
                <w:color w:val="FFFFFF"/>
                <w:sz w:val="20"/>
                <w:szCs w:val="20"/>
                <w:lang w:eastAsia="it-IT"/>
              </w:rPr>
            </w:pPr>
            <w:r w:rsidRPr="00CF36FD">
              <w:rPr>
                <w:rFonts w:asciiTheme="minorHAnsi" w:eastAsia="Times New Roman" w:hAnsiTheme="minorHAnsi" w:cstheme="minorHAnsi"/>
                <w:color w:val="FFFFFF"/>
                <w:sz w:val="20"/>
                <w:szCs w:val="20"/>
                <w:lang w:eastAsia="it-IT"/>
              </w:rPr>
              <w:t>% on Italy</w:t>
            </w:r>
          </w:p>
        </w:tc>
        <w:tc>
          <w:tcPr>
            <w:tcW w:w="923" w:type="pct"/>
            <w:vMerge w:val="restart"/>
            <w:tcBorders>
              <w:top w:val="nil"/>
              <w:left w:val="nil"/>
              <w:bottom w:val="nil"/>
              <w:right w:val="nil"/>
            </w:tcBorders>
            <w:shd w:val="clear" w:color="000000" w:fill="1F497D"/>
            <w:vAlign w:val="center"/>
            <w:hideMark/>
          </w:tcPr>
          <w:p w:rsidR="00D66F0A" w:rsidRPr="00557122" w:rsidRDefault="00D66F0A" w:rsidP="00D66F0A">
            <w:pPr>
              <w:jc w:val="center"/>
              <w:rPr>
                <w:rFonts w:asciiTheme="minorHAnsi" w:eastAsia="Times New Roman" w:hAnsiTheme="minorHAnsi" w:cstheme="minorHAnsi"/>
                <w:color w:val="FFFFFF"/>
                <w:sz w:val="20"/>
                <w:szCs w:val="20"/>
                <w:lang w:val="fr-FR" w:eastAsia="it-IT"/>
              </w:rPr>
            </w:pPr>
            <w:r w:rsidRPr="00557122">
              <w:rPr>
                <w:rFonts w:asciiTheme="minorHAnsi" w:eastAsia="Times New Roman" w:hAnsiTheme="minorHAnsi" w:cstheme="minorHAnsi"/>
                <w:color w:val="FFFFFF"/>
                <w:sz w:val="20"/>
                <w:szCs w:val="20"/>
                <w:lang w:val="fr-FR" w:eastAsia="it-IT"/>
              </w:rPr>
              <w:t xml:space="preserve">Var. % </w:t>
            </w:r>
            <w:r w:rsidRPr="00557122">
              <w:rPr>
                <w:rFonts w:asciiTheme="minorHAnsi" w:eastAsia="Times New Roman" w:hAnsiTheme="minorHAnsi" w:cstheme="minorHAnsi"/>
                <w:color w:val="FFFFFF"/>
                <w:sz w:val="20"/>
                <w:szCs w:val="20"/>
                <w:lang w:val="fr-FR" w:eastAsia="it-IT"/>
              </w:rPr>
              <w:br/>
              <w:t>II Q '16/II Q '17</w:t>
            </w:r>
          </w:p>
        </w:tc>
      </w:tr>
      <w:tr w:rsidR="00D66F0A" w:rsidRPr="00CF36FD" w:rsidTr="00D66F0A">
        <w:trPr>
          <w:trHeight w:val="300"/>
        </w:trPr>
        <w:tc>
          <w:tcPr>
            <w:tcW w:w="1596" w:type="pct"/>
            <w:vMerge/>
            <w:tcBorders>
              <w:top w:val="nil"/>
              <w:left w:val="nil"/>
              <w:bottom w:val="nil"/>
              <w:right w:val="nil"/>
            </w:tcBorders>
            <w:vAlign w:val="center"/>
            <w:hideMark/>
          </w:tcPr>
          <w:p w:rsidR="00D66F0A" w:rsidRPr="00557122" w:rsidRDefault="00D66F0A" w:rsidP="00D66F0A">
            <w:pPr>
              <w:jc w:val="left"/>
              <w:rPr>
                <w:rFonts w:asciiTheme="minorHAnsi" w:eastAsia="Times New Roman" w:hAnsiTheme="minorHAnsi" w:cstheme="minorHAnsi"/>
                <w:color w:val="000000"/>
                <w:sz w:val="20"/>
                <w:szCs w:val="20"/>
                <w:lang w:val="fr-FR" w:eastAsia="it-IT"/>
              </w:rPr>
            </w:pPr>
          </w:p>
        </w:tc>
        <w:tc>
          <w:tcPr>
            <w:tcW w:w="823" w:type="pct"/>
            <w:tcBorders>
              <w:top w:val="nil"/>
              <w:left w:val="nil"/>
              <w:bottom w:val="nil"/>
              <w:right w:val="nil"/>
            </w:tcBorders>
            <w:shd w:val="clear" w:color="000000" w:fill="1F497D"/>
            <w:vAlign w:val="center"/>
            <w:hideMark/>
          </w:tcPr>
          <w:p w:rsidR="00D66F0A" w:rsidRPr="00CF36FD" w:rsidRDefault="00D66F0A" w:rsidP="00D66F0A">
            <w:pPr>
              <w:jc w:val="center"/>
              <w:rPr>
                <w:rFonts w:asciiTheme="minorHAnsi" w:eastAsia="Times New Roman" w:hAnsiTheme="minorHAnsi" w:cstheme="minorHAnsi"/>
                <w:color w:val="FFFFFF"/>
                <w:sz w:val="20"/>
                <w:szCs w:val="20"/>
                <w:lang w:eastAsia="it-IT"/>
              </w:rPr>
            </w:pPr>
            <w:r w:rsidRPr="00CF36FD">
              <w:rPr>
                <w:rFonts w:asciiTheme="minorHAnsi" w:eastAsia="Times New Roman" w:hAnsiTheme="minorHAnsi" w:cstheme="minorHAnsi"/>
                <w:color w:val="FFFFFF"/>
                <w:sz w:val="20"/>
                <w:szCs w:val="20"/>
                <w:lang w:eastAsia="it-IT"/>
              </w:rPr>
              <w:t>(II Q 2017)</w:t>
            </w:r>
          </w:p>
        </w:tc>
        <w:tc>
          <w:tcPr>
            <w:tcW w:w="810" w:type="pct"/>
            <w:tcBorders>
              <w:top w:val="nil"/>
              <w:left w:val="nil"/>
              <w:bottom w:val="nil"/>
              <w:right w:val="nil"/>
            </w:tcBorders>
            <w:shd w:val="clear" w:color="000000" w:fill="1F497D"/>
            <w:vAlign w:val="center"/>
            <w:hideMark/>
          </w:tcPr>
          <w:p w:rsidR="00D66F0A" w:rsidRPr="00CF36FD" w:rsidRDefault="00D66F0A" w:rsidP="00D66F0A">
            <w:pPr>
              <w:jc w:val="center"/>
              <w:rPr>
                <w:rFonts w:asciiTheme="minorHAnsi" w:eastAsia="Times New Roman" w:hAnsiTheme="minorHAnsi" w:cstheme="minorHAnsi"/>
                <w:color w:val="FFFFFF"/>
                <w:sz w:val="20"/>
                <w:szCs w:val="20"/>
                <w:lang w:eastAsia="it-IT"/>
              </w:rPr>
            </w:pPr>
            <w:r w:rsidRPr="00CF36FD">
              <w:rPr>
                <w:rFonts w:asciiTheme="minorHAnsi" w:eastAsia="Times New Roman" w:hAnsiTheme="minorHAnsi" w:cstheme="minorHAnsi"/>
                <w:color w:val="FFFFFF"/>
                <w:sz w:val="20"/>
                <w:szCs w:val="20"/>
                <w:lang w:eastAsia="it-IT"/>
              </w:rPr>
              <w:t>(II Q 2016)</w:t>
            </w:r>
          </w:p>
        </w:tc>
        <w:tc>
          <w:tcPr>
            <w:tcW w:w="848" w:type="pct"/>
            <w:vMerge/>
            <w:tcBorders>
              <w:top w:val="nil"/>
              <w:left w:val="nil"/>
              <w:bottom w:val="nil"/>
              <w:right w:val="nil"/>
            </w:tcBorders>
            <w:vAlign w:val="center"/>
            <w:hideMark/>
          </w:tcPr>
          <w:p w:rsidR="00D66F0A" w:rsidRPr="00CF36FD" w:rsidRDefault="00D66F0A" w:rsidP="00D66F0A">
            <w:pPr>
              <w:jc w:val="left"/>
              <w:rPr>
                <w:rFonts w:asciiTheme="minorHAnsi" w:eastAsia="Times New Roman" w:hAnsiTheme="minorHAnsi" w:cstheme="minorHAnsi"/>
                <w:color w:val="FFFFFF"/>
                <w:sz w:val="20"/>
                <w:szCs w:val="20"/>
                <w:lang w:eastAsia="it-IT"/>
              </w:rPr>
            </w:pPr>
          </w:p>
        </w:tc>
        <w:tc>
          <w:tcPr>
            <w:tcW w:w="923" w:type="pct"/>
            <w:vMerge/>
            <w:tcBorders>
              <w:top w:val="nil"/>
              <w:left w:val="nil"/>
              <w:bottom w:val="nil"/>
              <w:right w:val="nil"/>
            </w:tcBorders>
            <w:vAlign w:val="center"/>
            <w:hideMark/>
          </w:tcPr>
          <w:p w:rsidR="00D66F0A" w:rsidRPr="00CF36FD" w:rsidRDefault="00D66F0A" w:rsidP="00D66F0A">
            <w:pPr>
              <w:jc w:val="left"/>
              <w:rPr>
                <w:rFonts w:asciiTheme="minorHAnsi" w:eastAsia="Times New Roman" w:hAnsiTheme="minorHAnsi" w:cstheme="minorHAnsi"/>
                <w:color w:val="FFFFFF"/>
                <w:sz w:val="20"/>
                <w:szCs w:val="20"/>
                <w:lang w:eastAsia="it-IT"/>
              </w:rPr>
            </w:pPr>
          </w:p>
        </w:tc>
      </w:tr>
      <w:tr w:rsidR="00D66F0A" w:rsidRPr="00CF36FD" w:rsidTr="00C33F57">
        <w:trPr>
          <w:trHeight w:val="300"/>
        </w:trPr>
        <w:tc>
          <w:tcPr>
            <w:tcW w:w="1596" w:type="pct"/>
            <w:tcBorders>
              <w:top w:val="nil"/>
              <w:left w:val="nil"/>
              <w:bottom w:val="nil"/>
              <w:right w:val="nil"/>
            </w:tcBorders>
            <w:shd w:val="clear" w:color="auto" w:fill="auto"/>
            <w:vAlign w:val="center"/>
            <w:hideMark/>
          </w:tcPr>
          <w:p w:rsidR="00D66F0A" w:rsidRPr="00CF36FD" w:rsidRDefault="00D66F0A" w:rsidP="00D66F0A">
            <w:pPr>
              <w:jc w:val="lef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Abruzzo</w:t>
            </w:r>
          </w:p>
        </w:tc>
        <w:tc>
          <w:tcPr>
            <w:tcW w:w="823" w:type="pct"/>
            <w:tcBorders>
              <w:top w:val="nil"/>
              <w:left w:val="nil"/>
              <w:bottom w:val="nil"/>
              <w:right w:val="nil"/>
            </w:tcBorders>
            <w:shd w:val="clear" w:color="auto" w:fill="auto"/>
            <w:vAlign w:val="center"/>
            <w:hideMark/>
          </w:tcPr>
          <w:p w:rsidR="00D66F0A" w:rsidRPr="00CF36FD" w:rsidRDefault="00D66F0A" w:rsidP="00C33F57">
            <w:pPr>
              <w:jc w:val="righ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177</w:t>
            </w:r>
          </w:p>
        </w:tc>
        <w:tc>
          <w:tcPr>
            <w:tcW w:w="810"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139</w:t>
            </w:r>
          </w:p>
        </w:tc>
        <w:tc>
          <w:tcPr>
            <w:tcW w:w="848"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3.2</w:t>
            </w:r>
          </w:p>
        </w:tc>
        <w:tc>
          <w:tcPr>
            <w:tcW w:w="923" w:type="pct"/>
            <w:tcBorders>
              <w:top w:val="nil"/>
              <w:left w:val="nil"/>
              <w:bottom w:val="nil"/>
              <w:right w:val="nil"/>
            </w:tcBorders>
            <w:shd w:val="clear" w:color="auto" w:fill="auto"/>
            <w:vAlign w:val="center"/>
            <w:hideMark/>
          </w:tcPr>
          <w:p w:rsidR="00D66F0A" w:rsidRPr="00CF36FD" w:rsidRDefault="00D66F0A" w:rsidP="00C33F57">
            <w:pPr>
              <w:jc w:val="righ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27.3</w:t>
            </w:r>
          </w:p>
        </w:tc>
      </w:tr>
      <w:tr w:rsidR="00D66F0A" w:rsidRPr="00CF36FD" w:rsidTr="00C33F57">
        <w:trPr>
          <w:trHeight w:val="300"/>
        </w:trPr>
        <w:tc>
          <w:tcPr>
            <w:tcW w:w="1596" w:type="pct"/>
            <w:tcBorders>
              <w:top w:val="nil"/>
              <w:left w:val="nil"/>
              <w:bottom w:val="nil"/>
              <w:right w:val="nil"/>
            </w:tcBorders>
            <w:shd w:val="clear" w:color="auto" w:fill="auto"/>
            <w:vAlign w:val="center"/>
            <w:hideMark/>
          </w:tcPr>
          <w:p w:rsidR="00D66F0A" w:rsidRPr="00CF36FD" w:rsidRDefault="00D66F0A" w:rsidP="00D66F0A">
            <w:pPr>
              <w:jc w:val="lef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Molise</w:t>
            </w:r>
          </w:p>
        </w:tc>
        <w:tc>
          <w:tcPr>
            <w:tcW w:w="823" w:type="pct"/>
            <w:tcBorders>
              <w:top w:val="nil"/>
              <w:left w:val="nil"/>
              <w:bottom w:val="nil"/>
              <w:right w:val="nil"/>
            </w:tcBorders>
            <w:shd w:val="clear" w:color="auto" w:fill="auto"/>
            <w:vAlign w:val="center"/>
            <w:hideMark/>
          </w:tcPr>
          <w:p w:rsidR="00D66F0A" w:rsidRPr="00CF36FD" w:rsidRDefault="00D66F0A" w:rsidP="00C33F57">
            <w:pPr>
              <w:jc w:val="righ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27</w:t>
            </w:r>
          </w:p>
        </w:tc>
        <w:tc>
          <w:tcPr>
            <w:tcW w:w="810"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21</w:t>
            </w:r>
          </w:p>
        </w:tc>
        <w:tc>
          <w:tcPr>
            <w:tcW w:w="848"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0.5</w:t>
            </w:r>
          </w:p>
        </w:tc>
        <w:tc>
          <w:tcPr>
            <w:tcW w:w="923" w:type="pct"/>
            <w:tcBorders>
              <w:top w:val="nil"/>
              <w:left w:val="nil"/>
              <w:bottom w:val="nil"/>
              <w:right w:val="nil"/>
            </w:tcBorders>
            <w:shd w:val="clear" w:color="auto" w:fill="auto"/>
            <w:vAlign w:val="center"/>
            <w:hideMark/>
          </w:tcPr>
          <w:p w:rsidR="00D66F0A" w:rsidRPr="00CF36FD" w:rsidRDefault="00D66F0A" w:rsidP="00C33F57">
            <w:pPr>
              <w:jc w:val="righ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28.6</w:t>
            </w:r>
          </w:p>
        </w:tc>
      </w:tr>
      <w:tr w:rsidR="00D66F0A" w:rsidRPr="00CF36FD" w:rsidTr="00C33F57">
        <w:trPr>
          <w:trHeight w:val="300"/>
        </w:trPr>
        <w:tc>
          <w:tcPr>
            <w:tcW w:w="1596" w:type="pct"/>
            <w:tcBorders>
              <w:top w:val="nil"/>
              <w:left w:val="nil"/>
              <w:bottom w:val="nil"/>
              <w:right w:val="nil"/>
            </w:tcBorders>
            <w:shd w:val="clear" w:color="auto" w:fill="auto"/>
            <w:vAlign w:val="center"/>
            <w:hideMark/>
          </w:tcPr>
          <w:p w:rsidR="00D66F0A" w:rsidRPr="00CF36FD" w:rsidRDefault="00D66F0A" w:rsidP="00D66F0A">
            <w:pPr>
              <w:jc w:val="lef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Campania</w:t>
            </w:r>
          </w:p>
        </w:tc>
        <w:tc>
          <w:tcPr>
            <w:tcW w:w="823" w:type="pct"/>
            <w:tcBorders>
              <w:top w:val="nil"/>
              <w:left w:val="nil"/>
              <w:bottom w:val="nil"/>
              <w:right w:val="nil"/>
            </w:tcBorders>
            <w:shd w:val="clear" w:color="auto" w:fill="auto"/>
            <w:vAlign w:val="center"/>
            <w:hideMark/>
          </w:tcPr>
          <w:p w:rsidR="00D66F0A" w:rsidRPr="00CF36FD" w:rsidRDefault="00D66F0A" w:rsidP="00C33F57">
            <w:pPr>
              <w:jc w:val="righ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547</w:t>
            </w:r>
          </w:p>
        </w:tc>
        <w:tc>
          <w:tcPr>
            <w:tcW w:w="810"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370</w:t>
            </w:r>
          </w:p>
        </w:tc>
        <w:tc>
          <w:tcPr>
            <w:tcW w:w="848"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9.8</w:t>
            </w:r>
          </w:p>
        </w:tc>
        <w:tc>
          <w:tcPr>
            <w:tcW w:w="923" w:type="pct"/>
            <w:tcBorders>
              <w:top w:val="nil"/>
              <w:left w:val="nil"/>
              <w:bottom w:val="nil"/>
              <w:right w:val="nil"/>
            </w:tcBorders>
            <w:shd w:val="clear" w:color="auto" w:fill="auto"/>
            <w:vAlign w:val="center"/>
            <w:hideMark/>
          </w:tcPr>
          <w:p w:rsidR="00D66F0A" w:rsidRPr="00CF36FD" w:rsidRDefault="00D66F0A" w:rsidP="00C33F57">
            <w:pPr>
              <w:jc w:val="righ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47.8</w:t>
            </w:r>
          </w:p>
        </w:tc>
      </w:tr>
      <w:tr w:rsidR="00D66F0A" w:rsidRPr="00CF36FD" w:rsidTr="00C33F57">
        <w:trPr>
          <w:trHeight w:val="300"/>
        </w:trPr>
        <w:tc>
          <w:tcPr>
            <w:tcW w:w="1596" w:type="pct"/>
            <w:tcBorders>
              <w:top w:val="nil"/>
              <w:left w:val="nil"/>
              <w:bottom w:val="nil"/>
              <w:right w:val="nil"/>
            </w:tcBorders>
            <w:shd w:val="clear" w:color="auto" w:fill="auto"/>
            <w:vAlign w:val="center"/>
            <w:hideMark/>
          </w:tcPr>
          <w:p w:rsidR="00D66F0A" w:rsidRPr="00CF36FD" w:rsidRDefault="00D66F0A" w:rsidP="00D66F0A">
            <w:pPr>
              <w:jc w:val="lef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Puglia</w:t>
            </w:r>
          </w:p>
        </w:tc>
        <w:tc>
          <w:tcPr>
            <w:tcW w:w="823" w:type="pct"/>
            <w:tcBorders>
              <w:top w:val="nil"/>
              <w:left w:val="nil"/>
              <w:bottom w:val="nil"/>
              <w:right w:val="nil"/>
            </w:tcBorders>
            <w:shd w:val="clear" w:color="auto" w:fill="auto"/>
            <w:vAlign w:val="center"/>
            <w:hideMark/>
          </w:tcPr>
          <w:p w:rsidR="00D66F0A" w:rsidRPr="00CF36FD" w:rsidRDefault="00D66F0A" w:rsidP="00C33F57">
            <w:pPr>
              <w:jc w:val="righ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290</w:t>
            </w:r>
          </w:p>
        </w:tc>
        <w:tc>
          <w:tcPr>
            <w:tcW w:w="810"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222</w:t>
            </w:r>
          </w:p>
        </w:tc>
        <w:tc>
          <w:tcPr>
            <w:tcW w:w="848"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5.2</w:t>
            </w:r>
          </w:p>
        </w:tc>
        <w:tc>
          <w:tcPr>
            <w:tcW w:w="923" w:type="pct"/>
            <w:tcBorders>
              <w:top w:val="nil"/>
              <w:left w:val="nil"/>
              <w:bottom w:val="nil"/>
              <w:right w:val="nil"/>
            </w:tcBorders>
            <w:shd w:val="clear" w:color="auto" w:fill="auto"/>
            <w:vAlign w:val="center"/>
            <w:hideMark/>
          </w:tcPr>
          <w:p w:rsidR="00D66F0A" w:rsidRPr="00CF36FD" w:rsidRDefault="00D66F0A" w:rsidP="00C33F57">
            <w:pPr>
              <w:jc w:val="righ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30.6</w:t>
            </w:r>
          </w:p>
        </w:tc>
      </w:tr>
      <w:tr w:rsidR="00D66F0A" w:rsidRPr="00CF36FD" w:rsidTr="00C33F57">
        <w:trPr>
          <w:trHeight w:val="300"/>
        </w:trPr>
        <w:tc>
          <w:tcPr>
            <w:tcW w:w="1596" w:type="pct"/>
            <w:tcBorders>
              <w:top w:val="nil"/>
              <w:left w:val="nil"/>
              <w:bottom w:val="nil"/>
              <w:right w:val="nil"/>
            </w:tcBorders>
            <w:shd w:val="clear" w:color="auto" w:fill="auto"/>
            <w:vAlign w:val="center"/>
            <w:hideMark/>
          </w:tcPr>
          <w:p w:rsidR="00D66F0A" w:rsidRPr="00CF36FD" w:rsidRDefault="00D66F0A" w:rsidP="00D66F0A">
            <w:pPr>
              <w:jc w:val="lef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Basilicata</w:t>
            </w:r>
          </w:p>
        </w:tc>
        <w:tc>
          <w:tcPr>
            <w:tcW w:w="823" w:type="pct"/>
            <w:tcBorders>
              <w:top w:val="nil"/>
              <w:left w:val="nil"/>
              <w:bottom w:val="nil"/>
              <w:right w:val="nil"/>
            </w:tcBorders>
            <w:shd w:val="clear" w:color="auto" w:fill="auto"/>
            <w:vAlign w:val="center"/>
            <w:hideMark/>
          </w:tcPr>
          <w:p w:rsidR="00D66F0A" w:rsidRPr="00CF36FD" w:rsidRDefault="00D66F0A" w:rsidP="00C33F57">
            <w:pPr>
              <w:jc w:val="righ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56</w:t>
            </w:r>
          </w:p>
        </w:tc>
        <w:tc>
          <w:tcPr>
            <w:tcW w:w="810"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46</w:t>
            </w:r>
          </w:p>
        </w:tc>
        <w:tc>
          <w:tcPr>
            <w:tcW w:w="848"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1.0</w:t>
            </w:r>
          </w:p>
        </w:tc>
        <w:tc>
          <w:tcPr>
            <w:tcW w:w="923" w:type="pct"/>
            <w:tcBorders>
              <w:top w:val="nil"/>
              <w:left w:val="nil"/>
              <w:bottom w:val="nil"/>
              <w:right w:val="nil"/>
            </w:tcBorders>
            <w:shd w:val="clear" w:color="auto" w:fill="auto"/>
            <w:vAlign w:val="center"/>
            <w:hideMark/>
          </w:tcPr>
          <w:p w:rsidR="00D66F0A" w:rsidRPr="00CF36FD" w:rsidRDefault="00D66F0A" w:rsidP="00C33F57">
            <w:pPr>
              <w:jc w:val="righ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21.7</w:t>
            </w:r>
          </w:p>
        </w:tc>
      </w:tr>
      <w:tr w:rsidR="00D66F0A" w:rsidRPr="00CF36FD" w:rsidTr="00C33F57">
        <w:trPr>
          <w:trHeight w:val="300"/>
        </w:trPr>
        <w:tc>
          <w:tcPr>
            <w:tcW w:w="1596" w:type="pct"/>
            <w:tcBorders>
              <w:top w:val="nil"/>
              <w:left w:val="nil"/>
              <w:bottom w:val="nil"/>
              <w:right w:val="nil"/>
            </w:tcBorders>
            <w:shd w:val="clear" w:color="auto" w:fill="auto"/>
            <w:vAlign w:val="center"/>
            <w:hideMark/>
          </w:tcPr>
          <w:p w:rsidR="00D66F0A" w:rsidRPr="00CF36FD" w:rsidRDefault="00D66F0A" w:rsidP="00D66F0A">
            <w:pPr>
              <w:jc w:val="lef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Calabria</w:t>
            </w:r>
          </w:p>
        </w:tc>
        <w:tc>
          <w:tcPr>
            <w:tcW w:w="823" w:type="pct"/>
            <w:tcBorders>
              <w:top w:val="nil"/>
              <w:left w:val="nil"/>
              <w:bottom w:val="nil"/>
              <w:right w:val="nil"/>
            </w:tcBorders>
            <w:shd w:val="clear" w:color="auto" w:fill="auto"/>
            <w:vAlign w:val="center"/>
            <w:hideMark/>
          </w:tcPr>
          <w:p w:rsidR="00D66F0A" w:rsidRPr="00CF36FD" w:rsidRDefault="00D66F0A" w:rsidP="00C33F57">
            <w:pPr>
              <w:jc w:val="righ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173</w:t>
            </w:r>
          </w:p>
        </w:tc>
        <w:tc>
          <w:tcPr>
            <w:tcW w:w="810"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136</w:t>
            </w:r>
          </w:p>
        </w:tc>
        <w:tc>
          <w:tcPr>
            <w:tcW w:w="848"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3.1</w:t>
            </w:r>
          </w:p>
        </w:tc>
        <w:tc>
          <w:tcPr>
            <w:tcW w:w="923" w:type="pct"/>
            <w:tcBorders>
              <w:top w:val="nil"/>
              <w:left w:val="nil"/>
              <w:bottom w:val="nil"/>
              <w:right w:val="nil"/>
            </w:tcBorders>
            <w:shd w:val="clear" w:color="auto" w:fill="auto"/>
            <w:vAlign w:val="center"/>
            <w:hideMark/>
          </w:tcPr>
          <w:p w:rsidR="00D66F0A" w:rsidRPr="00CF36FD" w:rsidRDefault="00D66F0A" w:rsidP="00C33F57">
            <w:pPr>
              <w:jc w:val="righ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27.2</w:t>
            </w:r>
          </w:p>
        </w:tc>
      </w:tr>
      <w:tr w:rsidR="00D66F0A" w:rsidRPr="00CF36FD" w:rsidTr="00C33F57">
        <w:trPr>
          <w:trHeight w:val="300"/>
        </w:trPr>
        <w:tc>
          <w:tcPr>
            <w:tcW w:w="1596" w:type="pct"/>
            <w:tcBorders>
              <w:top w:val="nil"/>
              <w:left w:val="nil"/>
              <w:bottom w:val="nil"/>
              <w:right w:val="nil"/>
            </w:tcBorders>
            <w:shd w:val="clear" w:color="auto" w:fill="auto"/>
            <w:vAlign w:val="center"/>
            <w:hideMark/>
          </w:tcPr>
          <w:p w:rsidR="00D66F0A" w:rsidRPr="00CF36FD" w:rsidRDefault="00D66F0A" w:rsidP="00D66F0A">
            <w:pPr>
              <w:jc w:val="lef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Sicilia</w:t>
            </w:r>
          </w:p>
        </w:tc>
        <w:tc>
          <w:tcPr>
            <w:tcW w:w="823" w:type="pct"/>
            <w:tcBorders>
              <w:top w:val="nil"/>
              <w:left w:val="nil"/>
              <w:bottom w:val="nil"/>
              <w:right w:val="nil"/>
            </w:tcBorders>
            <w:shd w:val="clear" w:color="auto" w:fill="auto"/>
            <w:vAlign w:val="center"/>
            <w:hideMark/>
          </w:tcPr>
          <w:p w:rsidR="00D66F0A" w:rsidRPr="00CF36FD" w:rsidRDefault="00D66F0A" w:rsidP="00C33F57">
            <w:pPr>
              <w:jc w:val="righ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368</w:t>
            </w:r>
          </w:p>
        </w:tc>
        <w:tc>
          <w:tcPr>
            <w:tcW w:w="810"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276</w:t>
            </w:r>
          </w:p>
        </w:tc>
        <w:tc>
          <w:tcPr>
            <w:tcW w:w="848"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6.6</w:t>
            </w:r>
          </w:p>
        </w:tc>
        <w:tc>
          <w:tcPr>
            <w:tcW w:w="923" w:type="pct"/>
            <w:tcBorders>
              <w:top w:val="nil"/>
              <w:left w:val="nil"/>
              <w:bottom w:val="nil"/>
              <w:right w:val="nil"/>
            </w:tcBorders>
            <w:shd w:val="clear" w:color="auto" w:fill="auto"/>
            <w:vAlign w:val="center"/>
            <w:hideMark/>
          </w:tcPr>
          <w:p w:rsidR="00D66F0A" w:rsidRPr="00CF36FD" w:rsidRDefault="00D66F0A" w:rsidP="00C33F57">
            <w:pPr>
              <w:jc w:val="righ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33.3</w:t>
            </w:r>
          </w:p>
        </w:tc>
      </w:tr>
      <w:tr w:rsidR="00D66F0A" w:rsidRPr="00CF36FD" w:rsidTr="00C33F57">
        <w:trPr>
          <w:trHeight w:val="315"/>
        </w:trPr>
        <w:tc>
          <w:tcPr>
            <w:tcW w:w="1596" w:type="pct"/>
            <w:tcBorders>
              <w:top w:val="nil"/>
              <w:left w:val="nil"/>
              <w:bottom w:val="dashed" w:sz="8" w:space="0" w:color="1F497D"/>
              <w:right w:val="nil"/>
            </w:tcBorders>
            <w:shd w:val="clear" w:color="auto" w:fill="auto"/>
            <w:vAlign w:val="center"/>
            <w:hideMark/>
          </w:tcPr>
          <w:p w:rsidR="00D66F0A" w:rsidRPr="00CF36FD" w:rsidRDefault="00D66F0A" w:rsidP="00D66F0A">
            <w:pPr>
              <w:jc w:val="lef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Sardegna</w:t>
            </w:r>
          </w:p>
        </w:tc>
        <w:tc>
          <w:tcPr>
            <w:tcW w:w="823" w:type="pct"/>
            <w:tcBorders>
              <w:top w:val="nil"/>
              <w:left w:val="nil"/>
              <w:bottom w:val="dashed" w:sz="8" w:space="0" w:color="1F497D"/>
              <w:right w:val="nil"/>
            </w:tcBorders>
            <w:shd w:val="clear" w:color="auto" w:fill="auto"/>
            <w:vAlign w:val="center"/>
            <w:hideMark/>
          </w:tcPr>
          <w:p w:rsidR="00D66F0A" w:rsidRPr="00CF36FD" w:rsidRDefault="00D66F0A" w:rsidP="00C33F57">
            <w:pPr>
              <w:jc w:val="righ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152</w:t>
            </w:r>
          </w:p>
        </w:tc>
        <w:tc>
          <w:tcPr>
            <w:tcW w:w="810" w:type="pct"/>
            <w:tcBorders>
              <w:top w:val="nil"/>
              <w:left w:val="nil"/>
              <w:bottom w:val="dashed" w:sz="8" w:space="0" w:color="1F497D"/>
              <w:right w:val="nil"/>
            </w:tcBorders>
            <w:shd w:val="clear" w:color="auto" w:fill="auto"/>
            <w:noWrap/>
            <w:vAlign w:val="center"/>
            <w:hideMark/>
          </w:tcPr>
          <w:p w:rsidR="00D66F0A" w:rsidRPr="00CF36FD" w:rsidRDefault="00D66F0A" w:rsidP="00C33F57">
            <w:pPr>
              <w:jc w:val="righ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155</w:t>
            </w:r>
          </w:p>
        </w:tc>
        <w:tc>
          <w:tcPr>
            <w:tcW w:w="848" w:type="pct"/>
            <w:tcBorders>
              <w:top w:val="nil"/>
              <w:left w:val="nil"/>
              <w:bottom w:val="dashed" w:sz="8" w:space="0" w:color="1F497D"/>
              <w:right w:val="nil"/>
            </w:tcBorders>
            <w:shd w:val="clear" w:color="auto" w:fill="auto"/>
            <w:vAlign w:val="center"/>
            <w:hideMark/>
          </w:tcPr>
          <w:p w:rsidR="00D66F0A" w:rsidRPr="00CF36FD" w:rsidRDefault="00D66F0A" w:rsidP="00C33F57">
            <w:pPr>
              <w:jc w:val="righ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2.7</w:t>
            </w:r>
          </w:p>
        </w:tc>
        <w:tc>
          <w:tcPr>
            <w:tcW w:w="923" w:type="pct"/>
            <w:tcBorders>
              <w:top w:val="nil"/>
              <w:left w:val="nil"/>
              <w:bottom w:val="dashed" w:sz="8" w:space="0" w:color="1F497D"/>
              <w:right w:val="nil"/>
            </w:tcBorders>
            <w:shd w:val="clear" w:color="auto" w:fill="auto"/>
            <w:vAlign w:val="center"/>
            <w:hideMark/>
          </w:tcPr>
          <w:p w:rsidR="00D66F0A" w:rsidRPr="00CF36FD" w:rsidRDefault="00D66F0A" w:rsidP="00C33F57">
            <w:pPr>
              <w:jc w:val="righ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-1.9</w:t>
            </w:r>
          </w:p>
        </w:tc>
      </w:tr>
      <w:tr w:rsidR="00D66F0A" w:rsidRPr="00CF36FD" w:rsidTr="00C33F57">
        <w:trPr>
          <w:trHeight w:val="315"/>
        </w:trPr>
        <w:tc>
          <w:tcPr>
            <w:tcW w:w="1596" w:type="pct"/>
            <w:tcBorders>
              <w:top w:val="nil"/>
              <w:left w:val="nil"/>
              <w:bottom w:val="dashed" w:sz="8" w:space="0" w:color="1F497D"/>
              <w:right w:val="nil"/>
            </w:tcBorders>
            <w:shd w:val="clear" w:color="auto" w:fill="auto"/>
            <w:vAlign w:val="center"/>
            <w:hideMark/>
          </w:tcPr>
          <w:p w:rsidR="00D66F0A" w:rsidRPr="00CF36FD" w:rsidRDefault="00D66F0A" w:rsidP="00D66F0A">
            <w:pPr>
              <w:jc w:val="left"/>
              <w:rPr>
                <w:rFonts w:asciiTheme="minorHAnsi" w:eastAsia="Times New Roman" w:hAnsiTheme="minorHAnsi" w:cstheme="minorHAnsi"/>
                <w:b/>
                <w:bCs/>
                <w:color w:val="1F497D"/>
                <w:sz w:val="20"/>
                <w:szCs w:val="20"/>
                <w:lang w:eastAsia="it-IT"/>
              </w:rPr>
            </w:pPr>
            <w:r w:rsidRPr="00CF36FD">
              <w:rPr>
                <w:rFonts w:asciiTheme="minorHAnsi" w:eastAsia="Times New Roman" w:hAnsiTheme="minorHAnsi" w:cstheme="minorHAnsi"/>
                <w:b/>
                <w:bCs/>
                <w:color w:val="1F497D"/>
                <w:sz w:val="20"/>
                <w:szCs w:val="20"/>
                <w:lang w:eastAsia="it-IT"/>
              </w:rPr>
              <w:t>Southern Italy</w:t>
            </w:r>
          </w:p>
        </w:tc>
        <w:tc>
          <w:tcPr>
            <w:tcW w:w="823" w:type="pct"/>
            <w:tcBorders>
              <w:top w:val="nil"/>
              <w:left w:val="nil"/>
              <w:bottom w:val="dashed" w:sz="8" w:space="0" w:color="1F497D"/>
              <w:right w:val="nil"/>
            </w:tcBorders>
            <w:shd w:val="clear" w:color="auto" w:fill="auto"/>
            <w:vAlign w:val="center"/>
            <w:hideMark/>
          </w:tcPr>
          <w:p w:rsidR="00D66F0A" w:rsidRPr="00CF36FD" w:rsidRDefault="00D66F0A" w:rsidP="00C33F57">
            <w:pPr>
              <w:jc w:val="right"/>
              <w:rPr>
                <w:rFonts w:asciiTheme="minorHAnsi" w:eastAsia="Times New Roman" w:hAnsiTheme="minorHAnsi" w:cstheme="minorHAnsi"/>
                <w:b/>
                <w:bCs/>
                <w:color w:val="1F497D"/>
                <w:sz w:val="20"/>
                <w:szCs w:val="20"/>
                <w:lang w:eastAsia="it-IT"/>
              </w:rPr>
            </w:pPr>
            <w:r w:rsidRPr="00CF36FD">
              <w:rPr>
                <w:rFonts w:asciiTheme="minorHAnsi" w:eastAsia="Times New Roman" w:hAnsiTheme="minorHAnsi" w:cstheme="minorHAnsi"/>
                <w:b/>
                <w:bCs/>
                <w:color w:val="1F497D"/>
                <w:sz w:val="20"/>
                <w:szCs w:val="20"/>
                <w:lang w:eastAsia="it-IT"/>
              </w:rPr>
              <w:t>1,790</w:t>
            </w:r>
          </w:p>
        </w:tc>
        <w:tc>
          <w:tcPr>
            <w:tcW w:w="810" w:type="pct"/>
            <w:tcBorders>
              <w:top w:val="nil"/>
              <w:left w:val="nil"/>
              <w:bottom w:val="dashed" w:sz="8" w:space="0" w:color="1F497D"/>
              <w:right w:val="nil"/>
            </w:tcBorders>
            <w:shd w:val="clear" w:color="auto" w:fill="auto"/>
            <w:noWrap/>
            <w:vAlign w:val="center"/>
            <w:hideMark/>
          </w:tcPr>
          <w:p w:rsidR="00D66F0A" w:rsidRPr="00CF36FD" w:rsidRDefault="00D66F0A" w:rsidP="00C33F57">
            <w:pPr>
              <w:jc w:val="right"/>
              <w:rPr>
                <w:rFonts w:asciiTheme="minorHAnsi" w:eastAsia="Times New Roman" w:hAnsiTheme="minorHAnsi" w:cstheme="minorHAnsi"/>
                <w:b/>
                <w:bCs/>
                <w:color w:val="1F497D"/>
                <w:sz w:val="20"/>
                <w:szCs w:val="20"/>
                <w:lang w:eastAsia="it-IT"/>
              </w:rPr>
            </w:pPr>
            <w:r w:rsidRPr="00CF36FD">
              <w:rPr>
                <w:rFonts w:asciiTheme="minorHAnsi" w:eastAsia="Times New Roman" w:hAnsiTheme="minorHAnsi" w:cstheme="minorHAnsi"/>
                <w:b/>
                <w:bCs/>
                <w:color w:val="1F497D"/>
                <w:sz w:val="20"/>
                <w:szCs w:val="20"/>
                <w:lang w:eastAsia="it-IT"/>
              </w:rPr>
              <w:t>1,365</w:t>
            </w:r>
          </w:p>
        </w:tc>
        <w:tc>
          <w:tcPr>
            <w:tcW w:w="848" w:type="pct"/>
            <w:tcBorders>
              <w:top w:val="nil"/>
              <w:left w:val="nil"/>
              <w:bottom w:val="dashed" w:sz="8" w:space="0" w:color="1F497D"/>
              <w:right w:val="nil"/>
            </w:tcBorders>
            <w:shd w:val="clear" w:color="auto" w:fill="auto"/>
            <w:vAlign w:val="center"/>
            <w:hideMark/>
          </w:tcPr>
          <w:p w:rsidR="00D66F0A" w:rsidRPr="00CF36FD" w:rsidRDefault="00D66F0A" w:rsidP="00C33F57">
            <w:pPr>
              <w:jc w:val="right"/>
              <w:rPr>
                <w:rFonts w:asciiTheme="minorHAnsi" w:eastAsia="Times New Roman" w:hAnsiTheme="minorHAnsi" w:cstheme="minorHAnsi"/>
                <w:b/>
                <w:bCs/>
                <w:color w:val="1F497D"/>
                <w:sz w:val="20"/>
                <w:szCs w:val="20"/>
                <w:lang w:eastAsia="it-IT"/>
              </w:rPr>
            </w:pPr>
            <w:r w:rsidRPr="00CF36FD">
              <w:rPr>
                <w:rFonts w:asciiTheme="minorHAnsi" w:eastAsia="Times New Roman" w:hAnsiTheme="minorHAnsi" w:cstheme="minorHAnsi"/>
                <w:b/>
                <w:bCs/>
                <w:color w:val="1F497D"/>
                <w:sz w:val="20"/>
                <w:szCs w:val="20"/>
                <w:lang w:eastAsia="it-IT"/>
              </w:rPr>
              <w:t>24.2</w:t>
            </w:r>
          </w:p>
        </w:tc>
        <w:tc>
          <w:tcPr>
            <w:tcW w:w="923" w:type="pct"/>
            <w:tcBorders>
              <w:top w:val="nil"/>
              <w:left w:val="nil"/>
              <w:bottom w:val="dashed" w:sz="8" w:space="0" w:color="1F497D"/>
              <w:right w:val="nil"/>
            </w:tcBorders>
            <w:shd w:val="clear" w:color="auto" w:fill="auto"/>
            <w:vAlign w:val="center"/>
            <w:hideMark/>
          </w:tcPr>
          <w:p w:rsidR="00D66F0A" w:rsidRPr="00CF36FD" w:rsidRDefault="00D66F0A" w:rsidP="00C33F57">
            <w:pPr>
              <w:jc w:val="right"/>
              <w:rPr>
                <w:rFonts w:asciiTheme="minorHAnsi" w:eastAsia="Times New Roman" w:hAnsiTheme="minorHAnsi" w:cstheme="minorHAnsi"/>
                <w:b/>
                <w:bCs/>
                <w:color w:val="1F497D"/>
                <w:sz w:val="20"/>
                <w:szCs w:val="20"/>
                <w:lang w:eastAsia="it-IT"/>
              </w:rPr>
            </w:pPr>
            <w:r w:rsidRPr="00CF36FD">
              <w:rPr>
                <w:rFonts w:asciiTheme="minorHAnsi" w:eastAsia="Times New Roman" w:hAnsiTheme="minorHAnsi" w:cstheme="minorHAnsi"/>
                <w:b/>
                <w:bCs/>
                <w:color w:val="1F497D"/>
                <w:sz w:val="20"/>
                <w:szCs w:val="20"/>
                <w:lang w:eastAsia="it-IT"/>
              </w:rPr>
              <w:t>31.1</w:t>
            </w:r>
          </w:p>
        </w:tc>
      </w:tr>
      <w:tr w:rsidR="00D66F0A" w:rsidRPr="00CF36FD" w:rsidTr="00C33F57">
        <w:trPr>
          <w:trHeight w:val="300"/>
        </w:trPr>
        <w:tc>
          <w:tcPr>
            <w:tcW w:w="1596" w:type="pct"/>
            <w:tcBorders>
              <w:top w:val="nil"/>
              <w:left w:val="nil"/>
              <w:bottom w:val="nil"/>
              <w:right w:val="nil"/>
            </w:tcBorders>
            <w:shd w:val="clear" w:color="auto" w:fill="auto"/>
            <w:vAlign w:val="center"/>
            <w:hideMark/>
          </w:tcPr>
          <w:p w:rsidR="00D66F0A" w:rsidRPr="00CF36FD" w:rsidRDefault="00D66F0A" w:rsidP="00D66F0A">
            <w:pPr>
              <w:jc w:val="lef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Center-</w:t>
            </w:r>
            <w:proofErr w:type="spellStart"/>
            <w:r w:rsidRPr="00CF36FD">
              <w:rPr>
                <w:rFonts w:asciiTheme="minorHAnsi" w:eastAsia="Times New Roman" w:hAnsiTheme="minorHAnsi" w:cstheme="minorHAnsi"/>
                <w:color w:val="000000"/>
                <w:sz w:val="20"/>
                <w:szCs w:val="20"/>
                <w:lang w:eastAsia="it-IT"/>
              </w:rPr>
              <w:t>Northern</w:t>
            </w:r>
            <w:proofErr w:type="spellEnd"/>
            <w:r w:rsidRPr="00CF36FD">
              <w:rPr>
                <w:rFonts w:asciiTheme="minorHAnsi" w:eastAsia="Times New Roman" w:hAnsiTheme="minorHAnsi" w:cstheme="minorHAnsi"/>
                <w:color w:val="000000"/>
                <w:sz w:val="20"/>
                <w:szCs w:val="20"/>
                <w:lang w:eastAsia="it-IT"/>
              </w:rPr>
              <w:t xml:space="preserve"> Italy</w:t>
            </w:r>
          </w:p>
        </w:tc>
        <w:tc>
          <w:tcPr>
            <w:tcW w:w="823" w:type="pct"/>
            <w:tcBorders>
              <w:top w:val="nil"/>
              <w:left w:val="nil"/>
              <w:bottom w:val="nil"/>
              <w:right w:val="nil"/>
            </w:tcBorders>
            <w:shd w:val="clear" w:color="auto" w:fill="auto"/>
            <w:vAlign w:val="center"/>
            <w:hideMark/>
          </w:tcPr>
          <w:p w:rsidR="00D66F0A" w:rsidRPr="00CF36FD" w:rsidRDefault="00D66F0A" w:rsidP="00C33F57">
            <w:pPr>
              <w:jc w:val="righ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5,604</w:t>
            </w:r>
          </w:p>
        </w:tc>
        <w:tc>
          <w:tcPr>
            <w:tcW w:w="810"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4,578</w:t>
            </w:r>
          </w:p>
        </w:tc>
        <w:tc>
          <w:tcPr>
            <w:tcW w:w="848"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75.8</w:t>
            </w:r>
          </w:p>
        </w:tc>
        <w:tc>
          <w:tcPr>
            <w:tcW w:w="923" w:type="pct"/>
            <w:tcBorders>
              <w:top w:val="nil"/>
              <w:left w:val="nil"/>
              <w:bottom w:val="nil"/>
              <w:right w:val="nil"/>
            </w:tcBorders>
            <w:shd w:val="clear" w:color="auto" w:fill="auto"/>
            <w:vAlign w:val="center"/>
            <w:hideMark/>
          </w:tcPr>
          <w:p w:rsidR="00D66F0A" w:rsidRPr="00CF36FD" w:rsidRDefault="00D66F0A" w:rsidP="00C33F57">
            <w:pPr>
              <w:jc w:val="righ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22.4</w:t>
            </w:r>
          </w:p>
        </w:tc>
      </w:tr>
      <w:tr w:rsidR="00D66F0A" w:rsidRPr="00CF36FD" w:rsidTr="00C33F57">
        <w:trPr>
          <w:trHeight w:val="315"/>
        </w:trPr>
        <w:tc>
          <w:tcPr>
            <w:tcW w:w="1596" w:type="pct"/>
            <w:tcBorders>
              <w:top w:val="nil"/>
              <w:left w:val="nil"/>
              <w:bottom w:val="single" w:sz="12" w:space="0" w:color="1F497D"/>
              <w:right w:val="nil"/>
            </w:tcBorders>
            <w:shd w:val="clear" w:color="auto" w:fill="auto"/>
            <w:vAlign w:val="center"/>
            <w:hideMark/>
          </w:tcPr>
          <w:p w:rsidR="00D66F0A" w:rsidRPr="00CF36FD" w:rsidRDefault="00D66F0A" w:rsidP="00D66F0A">
            <w:pPr>
              <w:jc w:val="lef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Italy</w:t>
            </w:r>
          </w:p>
        </w:tc>
        <w:tc>
          <w:tcPr>
            <w:tcW w:w="823" w:type="pct"/>
            <w:tcBorders>
              <w:top w:val="nil"/>
              <w:left w:val="nil"/>
              <w:bottom w:val="single" w:sz="12" w:space="0" w:color="1F497D"/>
              <w:right w:val="nil"/>
            </w:tcBorders>
            <w:shd w:val="clear" w:color="auto" w:fill="auto"/>
            <w:vAlign w:val="center"/>
            <w:hideMark/>
          </w:tcPr>
          <w:p w:rsidR="00D66F0A" w:rsidRPr="00CF36FD" w:rsidRDefault="00D66F0A" w:rsidP="00C33F57">
            <w:pPr>
              <w:jc w:val="righ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7,394</w:t>
            </w:r>
          </w:p>
        </w:tc>
        <w:tc>
          <w:tcPr>
            <w:tcW w:w="810" w:type="pct"/>
            <w:tcBorders>
              <w:top w:val="nil"/>
              <w:left w:val="nil"/>
              <w:bottom w:val="single" w:sz="12" w:space="0" w:color="1F497D"/>
              <w:right w:val="nil"/>
            </w:tcBorders>
            <w:shd w:val="clear" w:color="auto" w:fill="auto"/>
            <w:noWrap/>
            <w:vAlign w:val="center"/>
            <w:hideMark/>
          </w:tcPr>
          <w:p w:rsidR="00D66F0A" w:rsidRPr="00CF36FD" w:rsidRDefault="00D66F0A" w:rsidP="00C33F57">
            <w:pPr>
              <w:jc w:val="righ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5,943</w:t>
            </w:r>
          </w:p>
        </w:tc>
        <w:tc>
          <w:tcPr>
            <w:tcW w:w="848" w:type="pct"/>
            <w:tcBorders>
              <w:top w:val="nil"/>
              <w:left w:val="nil"/>
              <w:bottom w:val="single" w:sz="12" w:space="0" w:color="1F497D"/>
              <w:right w:val="nil"/>
            </w:tcBorders>
            <w:shd w:val="clear" w:color="auto" w:fill="auto"/>
            <w:noWrap/>
            <w:vAlign w:val="center"/>
            <w:hideMark/>
          </w:tcPr>
          <w:p w:rsidR="00D66F0A" w:rsidRPr="00CF36FD" w:rsidRDefault="00D66F0A" w:rsidP="00C33F57">
            <w:pPr>
              <w:jc w:val="righ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100</w:t>
            </w:r>
          </w:p>
        </w:tc>
        <w:tc>
          <w:tcPr>
            <w:tcW w:w="923" w:type="pct"/>
            <w:tcBorders>
              <w:top w:val="nil"/>
              <w:left w:val="nil"/>
              <w:bottom w:val="single" w:sz="12" w:space="0" w:color="1F497D"/>
              <w:right w:val="nil"/>
            </w:tcBorders>
            <w:shd w:val="clear" w:color="auto" w:fill="auto"/>
            <w:vAlign w:val="center"/>
            <w:hideMark/>
          </w:tcPr>
          <w:p w:rsidR="00D66F0A" w:rsidRPr="00CF36FD" w:rsidRDefault="00D66F0A" w:rsidP="00C33F57">
            <w:pPr>
              <w:jc w:val="right"/>
              <w:rPr>
                <w:rFonts w:asciiTheme="minorHAnsi" w:eastAsia="Times New Roman" w:hAnsiTheme="minorHAnsi" w:cstheme="minorHAnsi"/>
                <w:color w:val="000000"/>
                <w:sz w:val="20"/>
                <w:szCs w:val="20"/>
                <w:lang w:eastAsia="it-IT"/>
              </w:rPr>
            </w:pPr>
            <w:r w:rsidRPr="00CF36FD">
              <w:rPr>
                <w:rFonts w:asciiTheme="minorHAnsi" w:eastAsia="Times New Roman" w:hAnsiTheme="minorHAnsi" w:cstheme="minorHAnsi"/>
                <w:color w:val="000000"/>
                <w:sz w:val="20"/>
                <w:szCs w:val="20"/>
                <w:lang w:eastAsia="it-IT"/>
              </w:rPr>
              <w:t>24.4</w:t>
            </w:r>
          </w:p>
        </w:tc>
      </w:tr>
    </w:tbl>
    <w:p w:rsidR="00A94567" w:rsidRDefault="00A94567" w:rsidP="00D4748D">
      <w:pPr>
        <w:spacing w:after="120"/>
        <w:rPr>
          <w:rFonts w:ascii="HelveticaLTStd-Cond" w:hAnsi="HelveticaLTStd-Cond" w:cs="HelveticaLTStd-Cond"/>
          <w:sz w:val="18"/>
          <w:szCs w:val="18"/>
          <w:lang w:val="en-US" w:eastAsia="it-IT"/>
        </w:rPr>
      </w:pPr>
      <w:r w:rsidRPr="00A94567">
        <w:rPr>
          <w:rFonts w:ascii="HelveticaLTStd-Cond" w:hAnsi="HelveticaLTStd-Cond" w:cs="HelveticaLTStd-Cond"/>
          <w:sz w:val="18"/>
          <w:szCs w:val="18"/>
          <w:lang w:val="en-US" w:eastAsia="it-IT"/>
        </w:rPr>
        <w:t>*Innovative start-ups are capital societies under Italian law, also constituted under cooperative form, or European societies headquartered in Italy and meeting specific criteria whose exclusive or predominant social objective is the development, the production and the marketing of innovative, high-tech products or services. The innovative start-ups are regulated by law n. 221/2012</w:t>
      </w:r>
    </w:p>
    <w:p w:rsidR="00D4748D" w:rsidRPr="00A94567" w:rsidRDefault="00D4748D" w:rsidP="00D4748D">
      <w:pPr>
        <w:spacing w:after="120"/>
        <w:rPr>
          <w:rFonts w:asciiTheme="majorHAnsi" w:hAnsiTheme="majorHAnsi"/>
          <w:sz w:val="18"/>
          <w:szCs w:val="18"/>
          <w:lang w:val="en-US"/>
        </w:rPr>
      </w:pPr>
      <w:r w:rsidRPr="00A94567">
        <w:rPr>
          <w:rFonts w:asciiTheme="majorHAnsi" w:hAnsiTheme="majorHAnsi"/>
          <w:sz w:val="18"/>
          <w:szCs w:val="18"/>
          <w:lang w:val="en-US"/>
        </w:rPr>
        <w:t>Source: Confindustria and SRM elaborations on Registroimprese</w:t>
      </w:r>
      <w:r w:rsidR="008E6518">
        <w:rPr>
          <w:rFonts w:asciiTheme="majorHAnsi" w:hAnsiTheme="majorHAnsi"/>
          <w:sz w:val="18"/>
          <w:szCs w:val="18"/>
          <w:lang w:val="en-US"/>
        </w:rPr>
        <w:t>.it</w:t>
      </w:r>
      <w:r w:rsidRPr="00A94567">
        <w:rPr>
          <w:rFonts w:asciiTheme="majorHAnsi" w:hAnsiTheme="majorHAnsi"/>
          <w:sz w:val="18"/>
          <w:szCs w:val="18"/>
          <w:lang w:val="en-US"/>
        </w:rPr>
        <w:t xml:space="preserve"> data</w:t>
      </w:r>
    </w:p>
    <w:p w:rsidR="00D66F0A" w:rsidRPr="00A94567" w:rsidRDefault="00D66F0A" w:rsidP="009950C9">
      <w:pPr>
        <w:shd w:val="clear" w:color="auto" w:fill="FFFFFF"/>
        <w:spacing w:after="120"/>
        <w:rPr>
          <w:rFonts w:ascii="HelveticaLTStd-Cond" w:hAnsi="HelveticaLTStd-Cond" w:cs="HelveticaLTStd-Cond"/>
          <w:sz w:val="18"/>
          <w:szCs w:val="18"/>
          <w:lang w:val="en-US" w:eastAsia="it-IT"/>
        </w:rPr>
      </w:pPr>
    </w:p>
    <w:p w:rsidR="009950C9" w:rsidRPr="00F97E0D" w:rsidRDefault="00F97E0D" w:rsidP="009950C9">
      <w:pPr>
        <w:shd w:val="clear" w:color="auto" w:fill="FFFFFF"/>
        <w:spacing w:after="120"/>
        <w:rPr>
          <w:rFonts w:asciiTheme="majorHAnsi" w:hAnsiTheme="majorHAnsi"/>
          <w:b/>
          <w:lang w:val="en-US"/>
        </w:rPr>
      </w:pPr>
      <w:r w:rsidRPr="00F97E0D">
        <w:rPr>
          <w:rFonts w:asciiTheme="majorHAnsi" w:hAnsiTheme="majorHAnsi"/>
          <w:b/>
          <w:lang w:val="en-US"/>
        </w:rPr>
        <w:t xml:space="preserve">Tourism arrivals and </w:t>
      </w:r>
      <w:r>
        <w:rPr>
          <w:rFonts w:asciiTheme="majorHAnsi" w:hAnsiTheme="majorHAnsi"/>
          <w:b/>
          <w:lang w:val="en-US"/>
        </w:rPr>
        <w:t xml:space="preserve">nights spent </w:t>
      </w:r>
      <w:r w:rsidRPr="00F97E0D">
        <w:rPr>
          <w:rFonts w:asciiTheme="majorHAnsi" w:hAnsiTheme="majorHAnsi"/>
          <w:b/>
          <w:lang w:val="en-US"/>
        </w:rPr>
        <w:t>in Southern regions (years 2014-2016; absolute values and % var.)</w:t>
      </w:r>
    </w:p>
    <w:tbl>
      <w:tblPr>
        <w:tblW w:w="5000" w:type="pct"/>
        <w:tblCellMar>
          <w:left w:w="70" w:type="dxa"/>
          <w:right w:w="70" w:type="dxa"/>
        </w:tblCellMar>
        <w:tblLook w:val="04A0" w:firstRow="1" w:lastRow="0" w:firstColumn="1" w:lastColumn="0" w:noHBand="0" w:noVBand="1"/>
      </w:tblPr>
      <w:tblGrid>
        <w:gridCol w:w="1827"/>
        <w:gridCol w:w="1077"/>
        <w:gridCol w:w="1077"/>
        <w:gridCol w:w="1077"/>
        <w:gridCol w:w="746"/>
        <w:gridCol w:w="1077"/>
        <w:gridCol w:w="1077"/>
        <w:gridCol w:w="1077"/>
        <w:gridCol w:w="743"/>
      </w:tblGrid>
      <w:tr w:rsidR="00D66F0A" w:rsidRPr="00CF36FD" w:rsidTr="00D66F0A">
        <w:trPr>
          <w:trHeight w:val="300"/>
        </w:trPr>
        <w:tc>
          <w:tcPr>
            <w:tcW w:w="948" w:type="pct"/>
            <w:tcBorders>
              <w:top w:val="nil"/>
              <w:left w:val="nil"/>
              <w:bottom w:val="nil"/>
              <w:right w:val="nil"/>
            </w:tcBorders>
            <w:shd w:val="clear" w:color="000000" w:fill="1F497D"/>
            <w:noWrap/>
            <w:vAlign w:val="bottom"/>
            <w:hideMark/>
          </w:tcPr>
          <w:p w:rsidR="00D66F0A" w:rsidRPr="00F97E0D" w:rsidRDefault="00D66F0A" w:rsidP="00D66F0A">
            <w:pPr>
              <w:jc w:val="left"/>
              <w:rPr>
                <w:rFonts w:asciiTheme="majorHAnsi" w:eastAsia="Times New Roman" w:hAnsiTheme="majorHAnsi" w:cs="Arial"/>
                <w:color w:val="FFFFFF"/>
                <w:sz w:val="20"/>
                <w:szCs w:val="20"/>
                <w:lang w:val="en-US" w:eastAsia="it-IT"/>
              </w:rPr>
            </w:pPr>
            <w:r w:rsidRPr="00F97E0D">
              <w:rPr>
                <w:rFonts w:asciiTheme="majorHAnsi" w:eastAsia="Times New Roman" w:hAnsiTheme="majorHAnsi" w:cs="Arial"/>
                <w:color w:val="FFFFFF"/>
                <w:sz w:val="20"/>
                <w:szCs w:val="20"/>
                <w:lang w:val="en-US" w:eastAsia="it-IT"/>
              </w:rPr>
              <w:t> </w:t>
            </w:r>
          </w:p>
        </w:tc>
        <w:tc>
          <w:tcPr>
            <w:tcW w:w="2026" w:type="pct"/>
            <w:gridSpan w:val="4"/>
            <w:tcBorders>
              <w:top w:val="nil"/>
              <w:left w:val="nil"/>
              <w:bottom w:val="nil"/>
              <w:right w:val="nil"/>
            </w:tcBorders>
            <w:shd w:val="clear" w:color="000000" w:fill="1F497D"/>
            <w:noWrap/>
            <w:vAlign w:val="bottom"/>
            <w:hideMark/>
          </w:tcPr>
          <w:p w:rsidR="00D66F0A" w:rsidRPr="00CF36FD" w:rsidRDefault="00D66F0A" w:rsidP="00D66F0A">
            <w:pPr>
              <w:jc w:val="center"/>
              <w:rPr>
                <w:rFonts w:asciiTheme="majorHAnsi" w:eastAsia="Times New Roman" w:hAnsiTheme="majorHAnsi" w:cs="Arial"/>
                <w:color w:val="FFFFFF"/>
                <w:sz w:val="20"/>
                <w:szCs w:val="20"/>
                <w:lang w:eastAsia="it-IT"/>
              </w:rPr>
            </w:pPr>
            <w:proofErr w:type="spellStart"/>
            <w:r w:rsidRPr="00CF36FD">
              <w:rPr>
                <w:rFonts w:asciiTheme="majorHAnsi" w:eastAsia="Times New Roman" w:hAnsiTheme="majorHAnsi" w:cs="Arial"/>
                <w:color w:val="FFFFFF"/>
                <w:sz w:val="20"/>
                <w:szCs w:val="20"/>
                <w:lang w:eastAsia="it-IT"/>
              </w:rPr>
              <w:t>Arrivals</w:t>
            </w:r>
            <w:proofErr w:type="spellEnd"/>
            <w:r w:rsidRPr="00CF36FD">
              <w:rPr>
                <w:rFonts w:asciiTheme="majorHAnsi" w:eastAsia="Times New Roman" w:hAnsiTheme="majorHAnsi" w:cs="Arial"/>
                <w:color w:val="FFFFFF"/>
                <w:sz w:val="20"/>
                <w:szCs w:val="20"/>
                <w:lang w:eastAsia="it-IT"/>
              </w:rPr>
              <w:t>*</w:t>
            </w:r>
          </w:p>
        </w:tc>
        <w:tc>
          <w:tcPr>
            <w:tcW w:w="2026" w:type="pct"/>
            <w:gridSpan w:val="4"/>
            <w:tcBorders>
              <w:top w:val="nil"/>
              <w:left w:val="nil"/>
              <w:bottom w:val="nil"/>
              <w:right w:val="nil"/>
            </w:tcBorders>
            <w:shd w:val="clear" w:color="000000" w:fill="1F497D"/>
            <w:noWrap/>
            <w:vAlign w:val="bottom"/>
            <w:hideMark/>
          </w:tcPr>
          <w:p w:rsidR="00D66F0A" w:rsidRPr="00CF36FD" w:rsidRDefault="00D66F0A" w:rsidP="00D66F0A">
            <w:pPr>
              <w:jc w:val="center"/>
              <w:rPr>
                <w:rFonts w:asciiTheme="majorHAnsi" w:eastAsia="Times New Roman" w:hAnsiTheme="majorHAnsi" w:cs="Arial"/>
                <w:color w:val="FFFFFF"/>
                <w:sz w:val="20"/>
                <w:szCs w:val="20"/>
                <w:lang w:eastAsia="it-IT"/>
              </w:rPr>
            </w:pPr>
            <w:proofErr w:type="spellStart"/>
            <w:r w:rsidRPr="00CF36FD">
              <w:rPr>
                <w:rFonts w:asciiTheme="majorHAnsi" w:eastAsia="Times New Roman" w:hAnsiTheme="majorHAnsi" w:cs="Arial"/>
                <w:color w:val="FFFFFF"/>
                <w:sz w:val="20"/>
                <w:szCs w:val="20"/>
                <w:lang w:eastAsia="it-IT"/>
              </w:rPr>
              <w:t>Nights</w:t>
            </w:r>
            <w:proofErr w:type="spellEnd"/>
            <w:r w:rsidRPr="00CF36FD">
              <w:rPr>
                <w:rFonts w:asciiTheme="majorHAnsi" w:eastAsia="Times New Roman" w:hAnsiTheme="majorHAnsi" w:cs="Arial"/>
                <w:color w:val="FFFFFF"/>
                <w:sz w:val="20"/>
                <w:szCs w:val="20"/>
                <w:lang w:eastAsia="it-IT"/>
              </w:rPr>
              <w:t xml:space="preserve"> </w:t>
            </w:r>
            <w:proofErr w:type="spellStart"/>
            <w:r w:rsidRPr="00CF36FD">
              <w:rPr>
                <w:rFonts w:asciiTheme="majorHAnsi" w:eastAsia="Times New Roman" w:hAnsiTheme="majorHAnsi" w:cs="Arial"/>
                <w:color w:val="FFFFFF"/>
                <w:sz w:val="20"/>
                <w:szCs w:val="20"/>
                <w:lang w:eastAsia="it-IT"/>
              </w:rPr>
              <w:t>spent</w:t>
            </w:r>
            <w:proofErr w:type="spellEnd"/>
            <w:r w:rsidRPr="00CF36FD">
              <w:rPr>
                <w:rFonts w:asciiTheme="majorHAnsi" w:eastAsia="Times New Roman" w:hAnsiTheme="majorHAnsi" w:cs="Arial"/>
                <w:color w:val="FFFFFF"/>
                <w:sz w:val="20"/>
                <w:szCs w:val="20"/>
                <w:lang w:eastAsia="it-IT"/>
              </w:rPr>
              <w:t>*</w:t>
            </w:r>
            <w:r w:rsidR="00164EBB" w:rsidRPr="00CF36FD">
              <w:rPr>
                <w:rFonts w:asciiTheme="majorHAnsi" w:eastAsia="Times New Roman" w:hAnsiTheme="majorHAnsi" w:cs="Arial"/>
                <w:color w:val="FFFFFF"/>
                <w:sz w:val="20"/>
                <w:szCs w:val="20"/>
                <w:lang w:eastAsia="it-IT"/>
              </w:rPr>
              <w:t>*</w:t>
            </w:r>
          </w:p>
        </w:tc>
      </w:tr>
      <w:tr w:rsidR="00D66F0A" w:rsidRPr="00CF36FD" w:rsidTr="00D66F0A">
        <w:trPr>
          <w:trHeight w:val="495"/>
        </w:trPr>
        <w:tc>
          <w:tcPr>
            <w:tcW w:w="948" w:type="pct"/>
            <w:tcBorders>
              <w:top w:val="nil"/>
              <w:left w:val="nil"/>
              <w:bottom w:val="nil"/>
              <w:right w:val="nil"/>
            </w:tcBorders>
            <w:shd w:val="clear" w:color="000000" w:fill="1F497D"/>
            <w:noWrap/>
            <w:vAlign w:val="bottom"/>
            <w:hideMark/>
          </w:tcPr>
          <w:p w:rsidR="00D66F0A" w:rsidRPr="00CF36FD" w:rsidRDefault="00D66F0A" w:rsidP="00D66F0A">
            <w:pPr>
              <w:jc w:val="left"/>
              <w:rPr>
                <w:rFonts w:asciiTheme="majorHAnsi" w:eastAsia="Times New Roman" w:hAnsiTheme="majorHAnsi" w:cs="Arial"/>
                <w:color w:val="FFFFFF"/>
                <w:sz w:val="20"/>
                <w:szCs w:val="20"/>
                <w:lang w:eastAsia="it-IT"/>
              </w:rPr>
            </w:pPr>
            <w:r w:rsidRPr="00CF36FD">
              <w:rPr>
                <w:rFonts w:asciiTheme="majorHAnsi" w:eastAsia="Times New Roman" w:hAnsiTheme="majorHAnsi" w:cs="Arial"/>
                <w:color w:val="FFFFFF"/>
                <w:sz w:val="20"/>
                <w:szCs w:val="20"/>
                <w:lang w:eastAsia="it-IT"/>
              </w:rPr>
              <w:t> </w:t>
            </w:r>
          </w:p>
        </w:tc>
        <w:tc>
          <w:tcPr>
            <w:tcW w:w="544" w:type="pct"/>
            <w:tcBorders>
              <w:top w:val="nil"/>
              <w:left w:val="nil"/>
              <w:bottom w:val="nil"/>
              <w:right w:val="nil"/>
            </w:tcBorders>
            <w:shd w:val="clear" w:color="000000" w:fill="1F497D"/>
            <w:vAlign w:val="bottom"/>
            <w:hideMark/>
          </w:tcPr>
          <w:p w:rsidR="00D66F0A" w:rsidRPr="00CF36FD" w:rsidRDefault="00D66F0A" w:rsidP="00D66F0A">
            <w:pPr>
              <w:jc w:val="center"/>
              <w:rPr>
                <w:rFonts w:asciiTheme="majorHAnsi" w:eastAsia="Times New Roman" w:hAnsiTheme="majorHAnsi" w:cs="Arial"/>
                <w:color w:val="FFFFFF"/>
                <w:sz w:val="20"/>
                <w:szCs w:val="20"/>
                <w:lang w:eastAsia="it-IT"/>
              </w:rPr>
            </w:pPr>
            <w:r w:rsidRPr="00CF36FD">
              <w:rPr>
                <w:rFonts w:asciiTheme="majorHAnsi" w:eastAsia="Times New Roman" w:hAnsiTheme="majorHAnsi" w:cs="Arial"/>
                <w:color w:val="FFFFFF"/>
                <w:sz w:val="20"/>
                <w:szCs w:val="20"/>
                <w:lang w:eastAsia="it-IT"/>
              </w:rPr>
              <w:t>2014</w:t>
            </w:r>
          </w:p>
        </w:tc>
        <w:tc>
          <w:tcPr>
            <w:tcW w:w="544" w:type="pct"/>
            <w:tcBorders>
              <w:top w:val="nil"/>
              <w:left w:val="nil"/>
              <w:bottom w:val="nil"/>
              <w:right w:val="nil"/>
            </w:tcBorders>
            <w:shd w:val="clear" w:color="000000" w:fill="1F497D"/>
            <w:vAlign w:val="bottom"/>
            <w:hideMark/>
          </w:tcPr>
          <w:p w:rsidR="00D66F0A" w:rsidRPr="00CF36FD" w:rsidRDefault="00D66F0A" w:rsidP="00D66F0A">
            <w:pPr>
              <w:jc w:val="center"/>
              <w:rPr>
                <w:rFonts w:asciiTheme="majorHAnsi" w:eastAsia="Times New Roman" w:hAnsiTheme="majorHAnsi" w:cs="Arial"/>
                <w:color w:val="FFFFFF"/>
                <w:sz w:val="20"/>
                <w:szCs w:val="20"/>
                <w:lang w:eastAsia="it-IT"/>
              </w:rPr>
            </w:pPr>
            <w:r w:rsidRPr="00CF36FD">
              <w:rPr>
                <w:rFonts w:asciiTheme="majorHAnsi" w:eastAsia="Times New Roman" w:hAnsiTheme="majorHAnsi" w:cs="Arial"/>
                <w:color w:val="FFFFFF"/>
                <w:sz w:val="20"/>
                <w:szCs w:val="20"/>
                <w:lang w:eastAsia="it-IT"/>
              </w:rPr>
              <w:t>2015</w:t>
            </w:r>
          </w:p>
        </w:tc>
        <w:tc>
          <w:tcPr>
            <w:tcW w:w="544" w:type="pct"/>
            <w:tcBorders>
              <w:top w:val="nil"/>
              <w:left w:val="nil"/>
              <w:bottom w:val="nil"/>
              <w:right w:val="nil"/>
            </w:tcBorders>
            <w:shd w:val="clear" w:color="000000" w:fill="1F497D"/>
            <w:vAlign w:val="bottom"/>
            <w:hideMark/>
          </w:tcPr>
          <w:p w:rsidR="00D66F0A" w:rsidRPr="00CF36FD" w:rsidRDefault="00D66F0A" w:rsidP="00D66F0A">
            <w:pPr>
              <w:jc w:val="center"/>
              <w:rPr>
                <w:rFonts w:asciiTheme="majorHAnsi" w:eastAsia="Times New Roman" w:hAnsiTheme="majorHAnsi" w:cs="Arial"/>
                <w:color w:val="FFFFFF"/>
                <w:sz w:val="20"/>
                <w:szCs w:val="20"/>
                <w:lang w:eastAsia="it-IT"/>
              </w:rPr>
            </w:pPr>
            <w:r w:rsidRPr="00CF36FD">
              <w:rPr>
                <w:rFonts w:asciiTheme="majorHAnsi" w:eastAsia="Times New Roman" w:hAnsiTheme="majorHAnsi" w:cs="Arial"/>
                <w:color w:val="FFFFFF"/>
                <w:sz w:val="20"/>
                <w:szCs w:val="20"/>
                <w:lang w:eastAsia="it-IT"/>
              </w:rPr>
              <w:t>2016</w:t>
            </w:r>
          </w:p>
        </w:tc>
        <w:tc>
          <w:tcPr>
            <w:tcW w:w="395" w:type="pct"/>
            <w:tcBorders>
              <w:top w:val="nil"/>
              <w:left w:val="nil"/>
              <w:bottom w:val="nil"/>
              <w:right w:val="nil"/>
            </w:tcBorders>
            <w:shd w:val="clear" w:color="000000" w:fill="1F497D"/>
            <w:vAlign w:val="bottom"/>
            <w:hideMark/>
          </w:tcPr>
          <w:p w:rsidR="00D66F0A" w:rsidRPr="00CF36FD" w:rsidRDefault="00D66F0A" w:rsidP="00D66F0A">
            <w:pPr>
              <w:jc w:val="center"/>
              <w:rPr>
                <w:rFonts w:asciiTheme="majorHAnsi" w:eastAsia="Times New Roman" w:hAnsiTheme="majorHAnsi" w:cs="Arial"/>
                <w:color w:val="FFFFFF"/>
                <w:sz w:val="20"/>
                <w:szCs w:val="20"/>
                <w:lang w:eastAsia="it-IT"/>
              </w:rPr>
            </w:pPr>
            <w:proofErr w:type="spellStart"/>
            <w:r w:rsidRPr="00CF36FD">
              <w:rPr>
                <w:rFonts w:asciiTheme="majorHAnsi" w:eastAsia="Times New Roman" w:hAnsiTheme="majorHAnsi" w:cs="Arial"/>
                <w:color w:val="FFFFFF"/>
                <w:sz w:val="20"/>
                <w:szCs w:val="20"/>
                <w:lang w:eastAsia="it-IT"/>
              </w:rPr>
              <w:t>Var</w:t>
            </w:r>
            <w:proofErr w:type="spellEnd"/>
            <w:r w:rsidRPr="00CF36FD">
              <w:rPr>
                <w:rFonts w:asciiTheme="majorHAnsi" w:eastAsia="Times New Roman" w:hAnsiTheme="majorHAnsi" w:cs="Arial"/>
                <w:color w:val="FFFFFF"/>
                <w:sz w:val="20"/>
                <w:szCs w:val="20"/>
                <w:lang w:eastAsia="it-IT"/>
              </w:rPr>
              <w:t>. % 15/16</w:t>
            </w:r>
          </w:p>
        </w:tc>
        <w:tc>
          <w:tcPr>
            <w:tcW w:w="544" w:type="pct"/>
            <w:tcBorders>
              <w:top w:val="nil"/>
              <w:left w:val="nil"/>
              <w:bottom w:val="nil"/>
              <w:right w:val="nil"/>
            </w:tcBorders>
            <w:shd w:val="clear" w:color="000000" w:fill="1F497D"/>
            <w:vAlign w:val="bottom"/>
            <w:hideMark/>
          </w:tcPr>
          <w:p w:rsidR="00D66F0A" w:rsidRPr="00CF36FD" w:rsidRDefault="00D66F0A" w:rsidP="00D66F0A">
            <w:pPr>
              <w:jc w:val="right"/>
              <w:rPr>
                <w:rFonts w:asciiTheme="majorHAnsi" w:eastAsia="Times New Roman" w:hAnsiTheme="majorHAnsi" w:cs="Arial"/>
                <w:color w:val="FFFFFF"/>
                <w:sz w:val="20"/>
                <w:szCs w:val="20"/>
                <w:lang w:eastAsia="it-IT"/>
              </w:rPr>
            </w:pPr>
            <w:r w:rsidRPr="00CF36FD">
              <w:rPr>
                <w:rFonts w:asciiTheme="majorHAnsi" w:eastAsia="Times New Roman" w:hAnsiTheme="majorHAnsi" w:cs="Arial"/>
                <w:color w:val="FFFFFF"/>
                <w:sz w:val="20"/>
                <w:szCs w:val="20"/>
                <w:lang w:eastAsia="it-IT"/>
              </w:rPr>
              <w:t>2014</w:t>
            </w:r>
          </w:p>
        </w:tc>
        <w:tc>
          <w:tcPr>
            <w:tcW w:w="544" w:type="pct"/>
            <w:tcBorders>
              <w:top w:val="nil"/>
              <w:left w:val="nil"/>
              <w:bottom w:val="nil"/>
              <w:right w:val="nil"/>
            </w:tcBorders>
            <w:shd w:val="clear" w:color="000000" w:fill="1F497D"/>
            <w:vAlign w:val="bottom"/>
            <w:hideMark/>
          </w:tcPr>
          <w:p w:rsidR="00D66F0A" w:rsidRPr="00CF36FD" w:rsidRDefault="00D66F0A" w:rsidP="00D66F0A">
            <w:pPr>
              <w:jc w:val="center"/>
              <w:rPr>
                <w:rFonts w:asciiTheme="majorHAnsi" w:eastAsia="Times New Roman" w:hAnsiTheme="majorHAnsi" w:cs="Arial"/>
                <w:color w:val="FFFFFF"/>
                <w:sz w:val="20"/>
                <w:szCs w:val="20"/>
                <w:lang w:eastAsia="it-IT"/>
              </w:rPr>
            </w:pPr>
            <w:r w:rsidRPr="00CF36FD">
              <w:rPr>
                <w:rFonts w:asciiTheme="majorHAnsi" w:eastAsia="Times New Roman" w:hAnsiTheme="majorHAnsi" w:cs="Arial"/>
                <w:color w:val="FFFFFF"/>
                <w:sz w:val="20"/>
                <w:szCs w:val="20"/>
                <w:lang w:eastAsia="it-IT"/>
              </w:rPr>
              <w:t>2015</w:t>
            </w:r>
          </w:p>
        </w:tc>
        <w:tc>
          <w:tcPr>
            <w:tcW w:w="544" w:type="pct"/>
            <w:tcBorders>
              <w:top w:val="nil"/>
              <w:left w:val="nil"/>
              <w:bottom w:val="nil"/>
              <w:right w:val="nil"/>
            </w:tcBorders>
            <w:shd w:val="clear" w:color="000000" w:fill="1F497D"/>
            <w:vAlign w:val="bottom"/>
            <w:hideMark/>
          </w:tcPr>
          <w:p w:rsidR="00D66F0A" w:rsidRPr="00CF36FD" w:rsidRDefault="00D66F0A" w:rsidP="00D66F0A">
            <w:pPr>
              <w:jc w:val="center"/>
              <w:rPr>
                <w:rFonts w:asciiTheme="majorHAnsi" w:eastAsia="Times New Roman" w:hAnsiTheme="majorHAnsi" w:cs="Arial"/>
                <w:color w:val="FFFFFF"/>
                <w:sz w:val="20"/>
                <w:szCs w:val="20"/>
                <w:lang w:eastAsia="it-IT"/>
              </w:rPr>
            </w:pPr>
            <w:r w:rsidRPr="00CF36FD">
              <w:rPr>
                <w:rFonts w:asciiTheme="majorHAnsi" w:eastAsia="Times New Roman" w:hAnsiTheme="majorHAnsi" w:cs="Arial"/>
                <w:color w:val="FFFFFF"/>
                <w:sz w:val="20"/>
                <w:szCs w:val="20"/>
                <w:lang w:eastAsia="it-IT"/>
              </w:rPr>
              <w:t>2016</w:t>
            </w:r>
          </w:p>
        </w:tc>
        <w:tc>
          <w:tcPr>
            <w:tcW w:w="395" w:type="pct"/>
            <w:tcBorders>
              <w:top w:val="nil"/>
              <w:left w:val="nil"/>
              <w:bottom w:val="nil"/>
              <w:right w:val="nil"/>
            </w:tcBorders>
            <w:shd w:val="clear" w:color="000000" w:fill="1F497D"/>
            <w:vAlign w:val="bottom"/>
            <w:hideMark/>
          </w:tcPr>
          <w:p w:rsidR="00D66F0A" w:rsidRPr="00CF36FD" w:rsidRDefault="00D66F0A" w:rsidP="00D66F0A">
            <w:pPr>
              <w:jc w:val="center"/>
              <w:rPr>
                <w:rFonts w:asciiTheme="majorHAnsi" w:eastAsia="Times New Roman" w:hAnsiTheme="majorHAnsi" w:cs="Arial"/>
                <w:color w:val="FFFFFF"/>
                <w:sz w:val="20"/>
                <w:szCs w:val="20"/>
                <w:lang w:eastAsia="it-IT"/>
              </w:rPr>
            </w:pPr>
            <w:proofErr w:type="spellStart"/>
            <w:r w:rsidRPr="00CF36FD">
              <w:rPr>
                <w:rFonts w:asciiTheme="majorHAnsi" w:eastAsia="Times New Roman" w:hAnsiTheme="majorHAnsi" w:cs="Arial"/>
                <w:color w:val="FFFFFF"/>
                <w:sz w:val="20"/>
                <w:szCs w:val="20"/>
                <w:lang w:eastAsia="it-IT"/>
              </w:rPr>
              <w:t>Var</w:t>
            </w:r>
            <w:proofErr w:type="spellEnd"/>
            <w:r w:rsidRPr="00CF36FD">
              <w:rPr>
                <w:rFonts w:asciiTheme="majorHAnsi" w:eastAsia="Times New Roman" w:hAnsiTheme="majorHAnsi" w:cs="Arial"/>
                <w:color w:val="FFFFFF"/>
                <w:sz w:val="20"/>
                <w:szCs w:val="20"/>
                <w:lang w:eastAsia="it-IT"/>
              </w:rPr>
              <w:t>. % 15/16</w:t>
            </w:r>
          </w:p>
        </w:tc>
      </w:tr>
      <w:tr w:rsidR="00D66F0A" w:rsidRPr="00CF36FD" w:rsidTr="00C33F57">
        <w:trPr>
          <w:trHeight w:val="300"/>
        </w:trPr>
        <w:tc>
          <w:tcPr>
            <w:tcW w:w="948" w:type="pct"/>
            <w:tcBorders>
              <w:top w:val="nil"/>
              <w:left w:val="nil"/>
              <w:bottom w:val="nil"/>
              <w:right w:val="nil"/>
            </w:tcBorders>
            <w:shd w:val="clear" w:color="auto" w:fill="auto"/>
            <w:vAlign w:val="center"/>
            <w:hideMark/>
          </w:tcPr>
          <w:p w:rsidR="00D66F0A" w:rsidRPr="00CF36FD" w:rsidRDefault="00D66F0A" w:rsidP="00C33F57">
            <w:pPr>
              <w:jc w:val="left"/>
              <w:rPr>
                <w:rFonts w:asciiTheme="majorHAnsi" w:eastAsia="Times New Roman" w:hAnsiTheme="majorHAnsi" w:cs="Arial"/>
                <w:sz w:val="18"/>
                <w:szCs w:val="18"/>
                <w:lang w:eastAsia="it-IT"/>
              </w:rPr>
            </w:pPr>
            <w:r w:rsidRPr="00CF36FD">
              <w:rPr>
                <w:rFonts w:asciiTheme="majorHAnsi" w:eastAsia="Times New Roman" w:hAnsiTheme="majorHAnsi" w:cs="Arial"/>
                <w:sz w:val="18"/>
                <w:szCs w:val="18"/>
                <w:lang w:eastAsia="it-IT"/>
              </w:rPr>
              <w:t>Abruzzo</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1,411,435</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1,522,087</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1,526,452</w:t>
            </w:r>
          </w:p>
        </w:tc>
        <w:tc>
          <w:tcPr>
            <w:tcW w:w="395"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0.3</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6,282,674</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6,177,230</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6,119,103</w:t>
            </w:r>
          </w:p>
        </w:tc>
        <w:tc>
          <w:tcPr>
            <w:tcW w:w="395"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-0.9</w:t>
            </w:r>
          </w:p>
        </w:tc>
      </w:tr>
      <w:tr w:rsidR="00D66F0A" w:rsidRPr="00CF36FD" w:rsidTr="00C33F57">
        <w:trPr>
          <w:trHeight w:val="300"/>
        </w:trPr>
        <w:tc>
          <w:tcPr>
            <w:tcW w:w="948" w:type="pct"/>
            <w:tcBorders>
              <w:top w:val="nil"/>
              <w:left w:val="nil"/>
              <w:bottom w:val="nil"/>
              <w:right w:val="nil"/>
            </w:tcBorders>
            <w:shd w:val="clear" w:color="auto" w:fill="auto"/>
            <w:vAlign w:val="center"/>
            <w:hideMark/>
          </w:tcPr>
          <w:p w:rsidR="00D66F0A" w:rsidRPr="00CF36FD" w:rsidRDefault="00D66F0A" w:rsidP="00C33F57">
            <w:pPr>
              <w:jc w:val="left"/>
              <w:rPr>
                <w:rFonts w:asciiTheme="majorHAnsi" w:eastAsia="Times New Roman" w:hAnsiTheme="majorHAnsi" w:cs="Arial"/>
                <w:sz w:val="18"/>
                <w:szCs w:val="18"/>
                <w:lang w:eastAsia="it-IT"/>
              </w:rPr>
            </w:pPr>
            <w:r w:rsidRPr="00CF36FD">
              <w:rPr>
                <w:rFonts w:asciiTheme="majorHAnsi" w:eastAsia="Times New Roman" w:hAnsiTheme="majorHAnsi" w:cs="Arial"/>
                <w:sz w:val="18"/>
                <w:szCs w:val="18"/>
                <w:lang w:eastAsia="it-IT"/>
              </w:rPr>
              <w:t>Molise</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147,109</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149,202</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136,948</w:t>
            </w:r>
          </w:p>
        </w:tc>
        <w:tc>
          <w:tcPr>
            <w:tcW w:w="395"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-8.2</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419,597</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492,018</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460,007</w:t>
            </w:r>
          </w:p>
        </w:tc>
        <w:tc>
          <w:tcPr>
            <w:tcW w:w="395"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-6.5</w:t>
            </w:r>
          </w:p>
        </w:tc>
      </w:tr>
      <w:tr w:rsidR="00D66F0A" w:rsidRPr="00CF36FD" w:rsidTr="00C33F57">
        <w:trPr>
          <w:trHeight w:val="300"/>
        </w:trPr>
        <w:tc>
          <w:tcPr>
            <w:tcW w:w="948" w:type="pct"/>
            <w:tcBorders>
              <w:top w:val="nil"/>
              <w:left w:val="nil"/>
              <w:bottom w:val="nil"/>
              <w:right w:val="nil"/>
            </w:tcBorders>
            <w:shd w:val="clear" w:color="auto" w:fill="auto"/>
            <w:vAlign w:val="center"/>
            <w:hideMark/>
          </w:tcPr>
          <w:p w:rsidR="00D66F0A" w:rsidRPr="00CF36FD" w:rsidRDefault="00D66F0A" w:rsidP="00C33F57">
            <w:pPr>
              <w:jc w:val="left"/>
              <w:rPr>
                <w:rFonts w:asciiTheme="majorHAnsi" w:eastAsia="Times New Roman" w:hAnsiTheme="majorHAnsi" w:cs="Arial"/>
                <w:sz w:val="18"/>
                <w:szCs w:val="18"/>
                <w:lang w:eastAsia="it-IT"/>
              </w:rPr>
            </w:pPr>
            <w:r w:rsidRPr="00CF36FD">
              <w:rPr>
                <w:rFonts w:asciiTheme="majorHAnsi" w:eastAsia="Times New Roman" w:hAnsiTheme="majorHAnsi" w:cs="Arial"/>
                <w:sz w:val="18"/>
                <w:szCs w:val="18"/>
                <w:lang w:eastAsia="it-IT"/>
              </w:rPr>
              <w:t>Campania</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4,632,876</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5,258,079</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5,492,496</w:t>
            </w:r>
          </w:p>
        </w:tc>
        <w:tc>
          <w:tcPr>
            <w:tcW w:w="395"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4.5</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18,060,075</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18,855,907</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19,872,576</w:t>
            </w:r>
          </w:p>
        </w:tc>
        <w:tc>
          <w:tcPr>
            <w:tcW w:w="395"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5.4</w:t>
            </w:r>
          </w:p>
        </w:tc>
      </w:tr>
      <w:tr w:rsidR="00D66F0A" w:rsidRPr="00CF36FD" w:rsidTr="00C33F57">
        <w:trPr>
          <w:trHeight w:val="300"/>
        </w:trPr>
        <w:tc>
          <w:tcPr>
            <w:tcW w:w="948" w:type="pct"/>
            <w:tcBorders>
              <w:top w:val="nil"/>
              <w:left w:val="nil"/>
              <w:bottom w:val="nil"/>
              <w:right w:val="nil"/>
            </w:tcBorders>
            <w:shd w:val="clear" w:color="auto" w:fill="auto"/>
            <w:vAlign w:val="center"/>
            <w:hideMark/>
          </w:tcPr>
          <w:p w:rsidR="00D66F0A" w:rsidRPr="00CF36FD" w:rsidRDefault="00D66F0A" w:rsidP="00C33F57">
            <w:pPr>
              <w:jc w:val="left"/>
              <w:rPr>
                <w:rFonts w:asciiTheme="majorHAnsi" w:eastAsia="Times New Roman" w:hAnsiTheme="majorHAnsi" w:cs="Arial"/>
                <w:sz w:val="18"/>
                <w:szCs w:val="18"/>
                <w:lang w:eastAsia="it-IT"/>
              </w:rPr>
            </w:pPr>
            <w:r w:rsidRPr="00CF36FD">
              <w:rPr>
                <w:rFonts w:asciiTheme="majorHAnsi" w:eastAsia="Times New Roman" w:hAnsiTheme="majorHAnsi" w:cs="Arial"/>
                <w:sz w:val="18"/>
                <w:szCs w:val="18"/>
                <w:lang w:eastAsia="it-IT"/>
              </w:rPr>
              <w:t>Puglia</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3,271,410</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3,434,839</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3,731,182</w:t>
            </w:r>
          </w:p>
        </w:tc>
        <w:tc>
          <w:tcPr>
            <w:tcW w:w="395"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8.6</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13,274,254</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13,526,151</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14,436,278</w:t>
            </w:r>
          </w:p>
        </w:tc>
        <w:tc>
          <w:tcPr>
            <w:tcW w:w="395"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6.7</w:t>
            </w:r>
          </w:p>
        </w:tc>
      </w:tr>
      <w:tr w:rsidR="00D66F0A" w:rsidRPr="00CF36FD" w:rsidTr="00C33F57">
        <w:trPr>
          <w:trHeight w:val="300"/>
        </w:trPr>
        <w:tc>
          <w:tcPr>
            <w:tcW w:w="948" w:type="pct"/>
            <w:tcBorders>
              <w:top w:val="nil"/>
              <w:left w:val="nil"/>
              <w:bottom w:val="nil"/>
              <w:right w:val="nil"/>
            </w:tcBorders>
            <w:shd w:val="clear" w:color="auto" w:fill="auto"/>
            <w:vAlign w:val="center"/>
            <w:hideMark/>
          </w:tcPr>
          <w:p w:rsidR="00D66F0A" w:rsidRPr="00CF36FD" w:rsidRDefault="00D66F0A" w:rsidP="00C33F57">
            <w:pPr>
              <w:jc w:val="left"/>
              <w:rPr>
                <w:rFonts w:asciiTheme="majorHAnsi" w:eastAsia="Times New Roman" w:hAnsiTheme="majorHAnsi" w:cs="Arial"/>
                <w:sz w:val="18"/>
                <w:szCs w:val="18"/>
                <w:lang w:eastAsia="it-IT"/>
              </w:rPr>
            </w:pPr>
            <w:r w:rsidRPr="00CF36FD">
              <w:rPr>
                <w:rFonts w:asciiTheme="majorHAnsi" w:eastAsia="Times New Roman" w:hAnsiTheme="majorHAnsi" w:cs="Arial"/>
                <w:sz w:val="18"/>
                <w:szCs w:val="18"/>
                <w:lang w:eastAsia="it-IT"/>
              </w:rPr>
              <w:t>Basilicata</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579,111</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673,774</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717,280</w:t>
            </w:r>
          </w:p>
        </w:tc>
        <w:tc>
          <w:tcPr>
            <w:tcW w:w="395"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6.5</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2,100,083</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2,302,678</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2,345,626</w:t>
            </w:r>
          </w:p>
        </w:tc>
        <w:tc>
          <w:tcPr>
            <w:tcW w:w="395"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1.9</w:t>
            </w:r>
          </w:p>
        </w:tc>
      </w:tr>
      <w:tr w:rsidR="00D66F0A" w:rsidRPr="00CF36FD" w:rsidTr="00C33F57">
        <w:trPr>
          <w:trHeight w:val="300"/>
        </w:trPr>
        <w:tc>
          <w:tcPr>
            <w:tcW w:w="948" w:type="pct"/>
            <w:tcBorders>
              <w:top w:val="nil"/>
              <w:left w:val="nil"/>
              <w:bottom w:val="nil"/>
              <w:right w:val="nil"/>
            </w:tcBorders>
            <w:shd w:val="clear" w:color="auto" w:fill="auto"/>
            <w:vAlign w:val="center"/>
            <w:hideMark/>
          </w:tcPr>
          <w:p w:rsidR="00D66F0A" w:rsidRPr="00CF36FD" w:rsidRDefault="00D66F0A" w:rsidP="00C33F57">
            <w:pPr>
              <w:jc w:val="left"/>
              <w:rPr>
                <w:rFonts w:asciiTheme="majorHAnsi" w:eastAsia="Times New Roman" w:hAnsiTheme="majorHAnsi" w:cs="Arial"/>
                <w:sz w:val="18"/>
                <w:szCs w:val="18"/>
                <w:lang w:eastAsia="it-IT"/>
              </w:rPr>
            </w:pPr>
            <w:r w:rsidRPr="00CF36FD">
              <w:rPr>
                <w:rFonts w:asciiTheme="majorHAnsi" w:eastAsia="Times New Roman" w:hAnsiTheme="majorHAnsi" w:cs="Arial"/>
                <w:sz w:val="18"/>
                <w:szCs w:val="18"/>
                <w:lang w:eastAsia="it-IT"/>
              </w:rPr>
              <w:t>Calabria</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1,402,373</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1,482,028</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1,603,012</w:t>
            </w:r>
          </w:p>
        </w:tc>
        <w:tc>
          <w:tcPr>
            <w:tcW w:w="395"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8.2</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7,762,931</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8,151,234</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8,512,415</w:t>
            </w:r>
          </w:p>
        </w:tc>
        <w:tc>
          <w:tcPr>
            <w:tcW w:w="395"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4.4</w:t>
            </w:r>
          </w:p>
        </w:tc>
      </w:tr>
      <w:tr w:rsidR="00D66F0A" w:rsidRPr="00CF36FD" w:rsidTr="00C33F57">
        <w:trPr>
          <w:trHeight w:val="300"/>
        </w:trPr>
        <w:tc>
          <w:tcPr>
            <w:tcW w:w="948" w:type="pct"/>
            <w:tcBorders>
              <w:top w:val="nil"/>
              <w:left w:val="nil"/>
              <w:bottom w:val="nil"/>
              <w:right w:val="nil"/>
            </w:tcBorders>
            <w:shd w:val="clear" w:color="auto" w:fill="auto"/>
            <w:vAlign w:val="center"/>
            <w:hideMark/>
          </w:tcPr>
          <w:p w:rsidR="00D66F0A" w:rsidRPr="00CF36FD" w:rsidRDefault="00D66F0A" w:rsidP="00C33F57">
            <w:pPr>
              <w:jc w:val="left"/>
              <w:rPr>
                <w:rFonts w:asciiTheme="majorHAnsi" w:eastAsia="Times New Roman" w:hAnsiTheme="majorHAnsi" w:cs="Arial"/>
                <w:sz w:val="18"/>
                <w:szCs w:val="18"/>
                <w:lang w:eastAsia="it-IT"/>
              </w:rPr>
            </w:pPr>
            <w:r w:rsidRPr="00CF36FD">
              <w:rPr>
                <w:rFonts w:asciiTheme="majorHAnsi" w:eastAsia="Times New Roman" w:hAnsiTheme="majorHAnsi" w:cs="Arial"/>
                <w:sz w:val="18"/>
                <w:szCs w:val="18"/>
                <w:lang w:eastAsia="it-IT"/>
              </w:rPr>
              <w:t>Sicilia</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4,621,370</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4,528,859</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4,408,499</w:t>
            </w:r>
          </w:p>
        </w:tc>
        <w:tc>
          <w:tcPr>
            <w:tcW w:w="395"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-2.7</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14,866,938</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14,510,708</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13,698,160</w:t>
            </w:r>
          </w:p>
        </w:tc>
        <w:tc>
          <w:tcPr>
            <w:tcW w:w="395"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-5.6</w:t>
            </w:r>
          </w:p>
        </w:tc>
      </w:tr>
      <w:tr w:rsidR="00D66F0A" w:rsidRPr="00CF36FD" w:rsidTr="00C33F57">
        <w:trPr>
          <w:trHeight w:val="315"/>
        </w:trPr>
        <w:tc>
          <w:tcPr>
            <w:tcW w:w="948" w:type="pct"/>
            <w:tcBorders>
              <w:top w:val="nil"/>
              <w:left w:val="nil"/>
              <w:bottom w:val="nil"/>
              <w:right w:val="nil"/>
            </w:tcBorders>
            <w:shd w:val="clear" w:color="auto" w:fill="auto"/>
            <w:vAlign w:val="center"/>
            <w:hideMark/>
          </w:tcPr>
          <w:p w:rsidR="00D66F0A" w:rsidRPr="00CF36FD" w:rsidRDefault="00D66F0A" w:rsidP="00C33F57">
            <w:pPr>
              <w:jc w:val="left"/>
              <w:rPr>
                <w:rFonts w:asciiTheme="majorHAnsi" w:eastAsia="Times New Roman" w:hAnsiTheme="majorHAnsi" w:cs="Arial"/>
                <w:sz w:val="18"/>
                <w:szCs w:val="18"/>
                <w:lang w:eastAsia="it-IT"/>
              </w:rPr>
            </w:pPr>
            <w:r w:rsidRPr="00CF36FD">
              <w:rPr>
                <w:rFonts w:asciiTheme="majorHAnsi" w:eastAsia="Times New Roman" w:hAnsiTheme="majorHAnsi" w:cs="Arial"/>
                <w:sz w:val="18"/>
                <w:szCs w:val="18"/>
                <w:lang w:eastAsia="it-IT"/>
              </w:rPr>
              <w:t>Sardegna</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2,391,408</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2,609,692</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2,879,495</w:t>
            </w:r>
          </w:p>
        </w:tc>
        <w:tc>
          <w:tcPr>
            <w:tcW w:w="395" w:type="pct"/>
            <w:tcBorders>
              <w:top w:val="nil"/>
              <w:left w:val="nil"/>
              <w:bottom w:val="single" w:sz="8" w:space="0" w:color="auto"/>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10.3</w:t>
            </w:r>
          </w:p>
        </w:tc>
        <w:tc>
          <w:tcPr>
            <w:tcW w:w="544" w:type="pct"/>
            <w:tcBorders>
              <w:top w:val="nil"/>
              <w:left w:val="nil"/>
              <w:bottom w:val="single" w:sz="8" w:space="0" w:color="auto"/>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11,362,839</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12,392,827</w:t>
            </w:r>
          </w:p>
        </w:tc>
        <w:tc>
          <w:tcPr>
            <w:tcW w:w="544"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13,485,744</w:t>
            </w:r>
          </w:p>
        </w:tc>
        <w:tc>
          <w:tcPr>
            <w:tcW w:w="395" w:type="pct"/>
            <w:tcBorders>
              <w:top w:val="nil"/>
              <w:left w:val="nil"/>
              <w:bottom w:val="nil"/>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8.8</w:t>
            </w:r>
          </w:p>
        </w:tc>
      </w:tr>
      <w:tr w:rsidR="00D66F0A" w:rsidRPr="00CF36FD" w:rsidTr="00C33F57">
        <w:trPr>
          <w:trHeight w:val="315"/>
        </w:trPr>
        <w:tc>
          <w:tcPr>
            <w:tcW w:w="948" w:type="pct"/>
            <w:tcBorders>
              <w:top w:val="single" w:sz="8" w:space="0" w:color="auto"/>
              <w:left w:val="nil"/>
              <w:bottom w:val="dashed" w:sz="8" w:space="0" w:color="1F497D"/>
              <w:right w:val="nil"/>
            </w:tcBorders>
            <w:shd w:val="clear" w:color="auto" w:fill="auto"/>
            <w:vAlign w:val="center"/>
            <w:hideMark/>
          </w:tcPr>
          <w:p w:rsidR="00D66F0A" w:rsidRPr="00CF36FD" w:rsidRDefault="00D66F0A" w:rsidP="00C33F57">
            <w:pPr>
              <w:jc w:val="left"/>
              <w:rPr>
                <w:rFonts w:asciiTheme="majorHAnsi" w:eastAsia="Times New Roman" w:hAnsiTheme="majorHAnsi" w:cs="Arial"/>
                <w:sz w:val="18"/>
                <w:szCs w:val="18"/>
                <w:lang w:eastAsia="it-IT"/>
              </w:rPr>
            </w:pPr>
            <w:r w:rsidRPr="00CF36FD">
              <w:rPr>
                <w:rFonts w:asciiTheme="majorHAnsi" w:eastAsia="Times New Roman" w:hAnsiTheme="majorHAnsi" w:cs="Arial"/>
                <w:sz w:val="18"/>
                <w:szCs w:val="18"/>
                <w:lang w:eastAsia="it-IT"/>
              </w:rPr>
              <w:t>North East</w:t>
            </w:r>
          </w:p>
        </w:tc>
        <w:tc>
          <w:tcPr>
            <w:tcW w:w="544" w:type="pct"/>
            <w:tcBorders>
              <w:top w:val="single" w:sz="8" w:space="0" w:color="auto"/>
              <w:left w:val="nil"/>
              <w:bottom w:val="dashed" w:sz="8"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23,587,108</w:t>
            </w:r>
          </w:p>
        </w:tc>
        <w:tc>
          <w:tcPr>
            <w:tcW w:w="544" w:type="pct"/>
            <w:tcBorders>
              <w:top w:val="single" w:sz="8" w:space="0" w:color="auto"/>
              <w:left w:val="nil"/>
              <w:bottom w:val="dashed" w:sz="8"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25,795,104</w:t>
            </w:r>
          </w:p>
        </w:tc>
        <w:tc>
          <w:tcPr>
            <w:tcW w:w="544" w:type="pct"/>
            <w:tcBorders>
              <w:top w:val="single" w:sz="8" w:space="0" w:color="auto"/>
              <w:left w:val="nil"/>
              <w:bottom w:val="dashed" w:sz="8"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25,937,297</w:t>
            </w:r>
          </w:p>
        </w:tc>
        <w:tc>
          <w:tcPr>
            <w:tcW w:w="395" w:type="pct"/>
            <w:tcBorders>
              <w:top w:val="nil"/>
              <w:left w:val="nil"/>
              <w:bottom w:val="dashed" w:sz="8"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0.6</w:t>
            </w:r>
          </w:p>
        </w:tc>
        <w:tc>
          <w:tcPr>
            <w:tcW w:w="544" w:type="pct"/>
            <w:tcBorders>
              <w:top w:val="nil"/>
              <w:left w:val="nil"/>
              <w:bottom w:val="dashed" w:sz="8"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63,815,398</w:t>
            </w:r>
          </w:p>
        </w:tc>
        <w:tc>
          <w:tcPr>
            <w:tcW w:w="544" w:type="pct"/>
            <w:tcBorders>
              <w:top w:val="single" w:sz="8" w:space="0" w:color="auto"/>
              <w:left w:val="nil"/>
              <w:bottom w:val="dashed" w:sz="8"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69,105,393</w:t>
            </w:r>
          </w:p>
        </w:tc>
        <w:tc>
          <w:tcPr>
            <w:tcW w:w="544" w:type="pct"/>
            <w:tcBorders>
              <w:top w:val="single" w:sz="8" w:space="0" w:color="auto"/>
              <w:left w:val="nil"/>
              <w:bottom w:val="dashed" w:sz="8"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69,725,999</w:t>
            </w:r>
          </w:p>
        </w:tc>
        <w:tc>
          <w:tcPr>
            <w:tcW w:w="395" w:type="pct"/>
            <w:tcBorders>
              <w:top w:val="single" w:sz="8" w:space="0" w:color="auto"/>
              <w:left w:val="nil"/>
              <w:bottom w:val="dashed" w:sz="8"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0.9</w:t>
            </w:r>
          </w:p>
        </w:tc>
      </w:tr>
      <w:tr w:rsidR="00D66F0A" w:rsidRPr="00CF36FD" w:rsidTr="00C33F57">
        <w:trPr>
          <w:trHeight w:val="315"/>
        </w:trPr>
        <w:tc>
          <w:tcPr>
            <w:tcW w:w="948" w:type="pct"/>
            <w:tcBorders>
              <w:top w:val="nil"/>
              <w:left w:val="nil"/>
              <w:bottom w:val="dashed" w:sz="8" w:space="0" w:color="1F497D"/>
              <w:right w:val="nil"/>
            </w:tcBorders>
            <w:shd w:val="clear" w:color="auto" w:fill="auto"/>
            <w:vAlign w:val="center"/>
            <w:hideMark/>
          </w:tcPr>
          <w:p w:rsidR="00D66F0A" w:rsidRPr="00CF36FD" w:rsidRDefault="00D66F0A" w:rsidP="00C33F57">
            <w:pPr>
              <w:jc w:val="left"/>
              <w:rPr>
                <w:rFonts w:asciiTheme="majorHAnsi" w:eastAsia="Times New Roman" w:hAnsiTheme="majorHAnsi" w:cs="Arial"/>
                <w:sz w:val="18"/>
                <w:szCs w:val="18"/>
                <w:lang w:eastAsia="it-IT"/>
              </w:rPr>
            </w:pPr>
            <w:r w:rsidRPr="00CF36FD">
              <w:rPr>
                <w:rFonts w:asciiTheme="majorHAnsi" w:eastAsia="Times New Roman" w:hAnsiTheme="majorHAnsi" w:cs="Arial"/>
                <w:sz w:val="18"/>
                <w:szCs w:val="18"/>
                <w:lang w:eastAsia="it-IT"/>
              </w:rPr>
              <w:t>North West</w:t>
            </w:r>
          </w:p>
        </w:tc>
        <w:tc>
          <w:tcPr>
            <w:tcW w:w="544" w:type="pct"/>
            <w:tcBorders>
              <w:top w:val="nil"/>
              <w:left w:val="nil"/>
              <w:bottom w:val="dashed" w:sz="8"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37,171,790</w:t>
            </w:r>
          </w:p>
        </w:tc>
        <w:tc>
          <w:tcPr>
            <w:tcW w:w="544" w:type="pct"/>
            <w:tcBorders>
              <w:top w:val="nil"/>
              <w:left w:val="nil"/>
              <w:bottom w:val="dashed" w:sz="8"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39,446,662</w:t>
            </w:r>
          </w:p>
        </w:tc>
        <w:tc>
          <w:tcPr>
            <w:tcW w:w="544" w:type="pct"/>
            <w:tcBorders>
              <w:top w:val="nil"/>
              <w:left w:val="nil"/>
              <w:bottom w:val="dashed" w:sz="8"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41,531,950</w:t>
            </w:r>
          </w:p>
        </w:tc>
        <w:tc>
          <w:tcPr>
            <w:tcW w:w="395" w:type="pct"/>
            <w:tcBorders>
              <w:top w:val="nil"/>
              <w:left w:val="nil"/>
              <w:bottom w:val="dashed" w:sz="8"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5.3</w:t>
            </w:r>
          </w:p>
        </w:tc>
        <w:tc>
          <w:tcPr>
            <w:tcW w:w="544" w:type="pct"/>
            <w:tcBorders>
              <w:top w:val="nil"/>
              <w:left w:val="nil"/>
              <w:bottom w:val="dashed" w:sz="8"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148,653,399</w:t>
            </w:r>
          </w:p>
        </w:tc>
        <w:tc>
          <w:tcPr>
            <w:tcW w:w="544" w:type="pct"/>
            <w:tcBorders>
              <w:top w:val="nil"/>
              <w:left w:val="nil"/>
              <w:bottom w:val="dashed" w:sz="8"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153,245,089</w:t>
            </w:r>
          </w:p>
        </w:tc>
        <w:tc>
          <w:tcPr>
            <w:tcW w:w="544" w:type="pct"/>
            <w:tcBorders>
              <w:top w:val="nil"/>
              <w:left w:val="nil"/>
              <w:bottom w:val="dashed" w:sz="8"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159,783,873</w:t>
            </w:r>
          </w:p>
        </w:tc>
        <w:tc>
          <w:tcPr>
            <w:tcW w:w="395" w:type="pct"/>
            <w:tcBorders>
              <w:top w:val="nil"/>
              <w:left w:val="nil"/>
              <w:bottom w:val="dashed" w:sz="8"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4.3</w:t>
            </w:r>
          </w:p>
        </w:tc>
      </w:tr>
      <w:tr w:rsidR="00D66F0A" w:rsidRPr="00CF36FD" w:rsidTr="00C33F57">
        <w:trPr>
          <w:trHeight w:val="315"/>
        </w:trPr>
        <w:tc>
          <w:tcPr>
            <w:tcW w:w="948" w:type="pct"/>
            <w:tcBorders>
              <w:top w:val="nil"/>
              <w:left w:val="nil"/>
              <w:bottom w:val="dashed" w:sz="8" w:space="0" w:color="1F497D"/>
              <w:right w:val="nil"/>
            </w:tcBorders>
            <w:shd w:val="clear" w:color="auto" w:fill="auto"/>
            <w:vAlign w:val="center"/>
            <w:hideMark/>
          </w:tcPr>
          <w:p w:rsidR="00D66F0A" w:rsidRPr="00CF36FD" w:rsidRDefault="00D66F0A" w:rsidP="00C33F57">
            <w:pPr>
              <w:jc w:val="left"/>
              <w:rPr>
                <w:rFonts w:asciiTheme="majorHAnsi" w:eastAsia="Times New Roman" w:hAnsiTheme="majorHAnsi" w:cs="Arial"/>
                <w:sz w:val="18"/>
                <w:szCs w:val="18"/>
                <w:lang w:eastAsia="it-IT"/>
              </w:rPr>
            </w:pPr>
            <w:r w:rsidRPr="00CF36FD">
              <w:rPr>
                <w:rFonts w:asciiTheme="majorHAnsi" w:eastAsia="Times New Roman" w:hAnsiTheme="majorHAnsi" w:cs="Arial"/>
                <w:sz w:val="18"/>
                <w:szCs w:val="18"/>
                <w:lang w:eastAsia="it-IT"/>
              </w:rPr>
              <w:t>Central Italy</w:t>
            </w:r>
          </w:p>
        </w:tc>
        <w:tc>
          <w:tcPr>
            <w:tcW w:w="544" w:type="pct"/>
            <w:tcBorders>
              <w:top w:val="nil"/>
              <w:left w:val="nil"/>
              <w:bottom w:val="dashed" w:sz="8"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27,336,362</w:t>
            </w:r>
          </w:p>
        </w:tc>
        <w:tc>
          <w:tcPr>
            <w:tcW w:w="544" w:type="pct"/>
            <w:tcBorders>
              <w:top w:val="nil"/>
              <w:left w:val="nil"/>
              <w:bottom w:val="dashed" w:sz="8"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28,491,811</w:t>
            </w:r>
          </w:p>
        </w:tc>
        <w:tc>
          <w:tcPr>
            <w:tcW w:w="544" w:type="pct"/>
            <w:tcBorders>
              <w:top w:val="nil"/>
              <w:left w:val="nil"/>
              <w:bottom w:val="dashed" w:sz="8"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28,979,632</w:t>
            </w:r>
          </w:p>
        </w:tc>
        <w:tc>
          <w:tcPr>
            <w:tcW w:w="395" w:type="pct"/>
            <w:tcBorders>
              <w:top w:val="nil"/>
              <w:left w:val="nil"/>
              <w:bottom w:val="dashed" w:sz="8"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1.7</w:t>
            </w:r>
          </w:p>
        </w:tc>
        <w:tc>
          <w:tcPr>
            <w:tcW w:w="544" w:type="pct"/>
            <w:tcBorders>
              <w:top w:val="nil"/>
              <w:left w:val="nil"/>
              <w:bottom w:val="dashed" w:sz="8"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91,172,618</w:t>
            </w:r>
          </w:p>
        </w:tc>
        <w:tc>
          <w:tcPr>
            <w:tcW w:w="544" w:type="pct"/>
            <w:tcBorders>
              <w:top w:val="nil"/>
              <w:left w:val="nil"/>
              <w:bottom w:val="dashed" w:sz="8"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94,114,835</w:t>
            </w:r>
          </w:p>
        </w:tc>
        <w:tc>
          <w:tcPr>
            <w:tcW w:w="544" w:type="pct"/>
            <w:tcBorders>
              <w:top w:val="nil"/>
              <w:left w:val="nil"/>
              <w:bottom w:val="dashed" w:sz="8"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94,522,332</w:t>
            </w:r>
          </w:p>
        </w:tc>
        <w:tc>
          <w:tcPr>
            <w:tcW w:w="395" w:type="pct"/>
            <w:tcBorders>
              <w:top w:val="nil"/>
              <w:left w:val="nil"/>
              <w:bottom w:val="dashed" w:sz="8"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0.4</w:t>
            </w:r>
          </w:p>
        </w:tc>
      </w:tr>
      <w:tr w:rsidR="00D66F0A" w:rsidRPr="00CF36FD" w:rsidTr="00C33F57">
        <w:trPr>
          <w:trHeight w:val="315"/>
        </w:trPr>
        <w:tc>
          <w:tcPr>
            <w:tcW w:w="948" w:type="pct"/>
            <w:tcBorders>
              <w:top w:val="nil"/>
              <w:left w:val="nil"/>
              <w:bottom w:val="dashed" w:sz="8" w:space="0" w:color="1F497D"/>
              <w:right w:val="nil"/>
            </w:tcBorders>
            <w:shd w:val="clear" w:color="auto" w:fill="auto"/>
            <w:vAlign w:val="center"/>
            <w:hideMark/>
          </w:tcPr>
          <w:p w:rsidR="00D66F0A" w:rsidRPr="00CF36FD" w:rsidRDefault="00D66F0A" w:rsidP="00C33F57">
            <w:pPr>
              <w:jc w:val="left"/>
              <w:rPr>
                <w:rFonts w:asciiTheme="majorHAnsi" w:eastAsia="Times New Roman" w:hAnsiTheme="majorHAnsi" w:cs="Arial"/>
                <w:sz w:val="18"/>
                <w:szCs w:val="18"/>
                <w:lang w:eastAsia="it-IT"/>
              </w:rPr>
            </w:pPr>
            <w:r w:rsidRPr="00CF36FD">
              <w:rPr>
                <w:rFonts w:asciiTheme="majorHAnsi" w:eastAsia="Times New Roman" w:hAnsiTheme="majorHAnsi" w:cs="Arial"/>
                <w:sz w:val="18"/>
                <w:szCs w:val="18"/>
                <w:lang w:eastAsia="it-IT"/>
              </w:rPr>
              <w:t>Center-</w:t>
            </w:r>
            <w:proofErr w:type="spellStart"/>
            <w:r w:rsidRPr="00CF36FD">
              <w:rPr>
                <w:rFonts w:asciiTheme="majorHAnsi" w:eastAsia="Times New Roman" w:hAnsiTheme="majorHAnsi" w:cs="Arial"/>
                <w:sz w:val="18"/>
                <w:szCs w:val="18"/>
                <w:lang w:eastAsia="it-IT"/>
              </w:rPr>
              <w:t>Northern</w:t>
            </w:r>
            <w:proofErr w:type="spellEnd"/>
            <w:r w:rsidRPr="00CF36FD">
              <w:rPr>
                <w:rFonts w:asciiTheme="majorHAnsi" w:eastAsia="Times New Roman" w:hAnsiTheme="majorHAnsi" w:cs="Arial"/>
                <w:sz w:val="18"/>
                <w:szCs w:val="18"/>
                <w:lang w:eastAsia="it-IT"/>
              </w:rPr>
              <w:t xml:space="preserve"> Italy</w:t>
            </w:r>
          </w:p>
        </w:tc>
        <w:tc>
          <w:tcPr>
            <w:tcW w:w="544" w:type="pct"/>
            <w:tcBorders>
              <w:top w:val="nil"/>
              <w:left w:val="nil"/>
              <w:bottom w:val="dashed" w:sz="8"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88,095,260</w:t>
            </w:r>
          </w:p>
        </w:tc>
        <w:tc>
          <w:tcPr>
            <w:tcW w:w="544" w:type="pct"/>
            <w:tcBorders>
              <w:top w:val="nil"/>
              <w:left w:val="nil"/>
              <w:bottom w:val="dashed" w:sz="8"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93,733,577</w:t>
            </w:r>
          </w:p>
        </w:tc>
        <w:tc>
          <w:tcPr>
            <w:tcW w:w="544" w:type="pct"/>
            <w:tcBorders>
              <w:top w:val="nil"/>
              <w:left w:val="nil"/>
              <w:bottom w:val="dashed" w:sz="8"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96,448,879</w:t>
            </w:r>
          </w:p>
        </w:tc>
        <w:tc>
          <w:tcPr>
            <w:tcW w:w="395" w:type="pct"/>
            <w:tcBorders>
              <w:top w:val="nil"/>
              <w:left w:val="nil"/>
              <w:bottom w:val="dashed" w:sz="8"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2.9</w:t>
            </w:r>
          </w:p>
        </w:tc>
        <w:tc>
          <w:tcPr>
            <w:tcW w:w="544" w:type="pct"/>
            <w:tcBorders>
              <w:top w:val="nil"/>
              <w:left w:val="nil"/>
              <w:bottom w:val="dashed" w:sz="8"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303,641,415</w:t>
            </w:r>
          </w:p>
        </w:tc>
        <w:tc>
          <w:tcPr>
            <w:tcW w:w="544" w:type="pct"/>
            <w:tcBorders>
              <w:top w:val="nil"/>
              <w:left w:val="nil"/>
              <w:bottom w:val="dashed" w:sz="8"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316,465,317</w:t>
            </w:r>
          </w:p>
        </w:tc>
        <w:tc>
          <w:tcPr>
            <w:tcW w:w="544" w:type="pct"/>
            <w:tcBorders>
              <w:top w:val="nil"/>
              <w:left w:val="nil"/>
              <w:bottom w:val="dashed" w:sz="8"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324,032,204</w:t>
            </w:r>
          </w:p>
        </w:tc>
        <w:tc>
          <w:tcPr>
            <w:tcW w:w="395" w:type="pct"/>
            <w:tcBorders>
              <w:top w:val="nil"/>
              <w:left w:val="nil"/>
              <w:bottom w:val="dashed" w:sz="8"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2.4</w:t>
            </w:r>
          </w:p>
        </w:tc>
      </w:tr>
      <w:tr w:rsidR="00D66F0A" w:rsidRPr="00CF36FD" w:rsidTr="00C33F57">
        <w:trPr>
          <w:trHeight w:val="315"/>
        </w:trPr>
        <w:tc>
          <w:tcPr>
            <w:tcW w:w="948" w:type="pct"/>
            <w:tcBorders>
              <w:top w:val="nil"/>
              <w:left w:val="dashed" w:sz="8" w:space="0" w:color="1F497D"/>
              <w:bottom w:val="dashed" w:sz="8" w:space="0" w:color="1F497D"/>
              <w:right w:val="nil"/>
            </w:tcBorders>
            <w:shd w:val="clear" w:color="auto" w:fill="auto"/>
            <w:vAlign w:val="center"/>
            <w:hideMark/>
          </w:tcPr>
          <w:p w:rsidR="00D66F0A" w:rsidRPr="00CF36FD" w:rsidRDefault="00D66F0A" w:rsidP="00C33F57">
            <w:pPr>
              <w:jc w:val="left"/>
              <w:rPr>
                <w:rFonts w:asciiTheme="majorHAnsi" w:eastAsia="Times New Roman" w:hAnsiTheme="majorHAnsi" w:cs="Arial"/>
                <w:b/>
                <w:bCs/>
                <w:color w:val="1F497D"/>
                <w:sz w:val="18"/>
                <w:szCs w:val="18"/>
                <w:lang w:eastAsia="it-IT"/>
              </w:rPr>
            </w:pPr>
            <w:proofErr w:type="spellStart"/>
            <w:r w:rsidRPr="00CF36FD">
              <w:rPr>
                <w:rFonts w:asciiTheme="majorHAnsi" w:eastAsia="Times New Roman" w:hAnsiTheme="majorHAnsi" w:cs="Arial"/>
                <w:b/>
                <w:bCs/>
                <w:color w:val="1F497D"/>
                <w:sz w:val="18"/>
                <w:szCs w:val="18"/>
                <w:lang w:eastAsia="it-IT"/>
              </w:rPr>
              <w:t>Souther</w:t>
            </w:r>
            <w:proofErr w:type="spellEnd"/>
            <w:r w:rsidRPr="00CF36FD">
              <w:rPr>
                <w:rFonts w:asciiTheme="majorHAnsi" w:eastAsia="Times New Roman" w:hAnsiTheme="majorHAnsi" w:cs="Arial"/>
                <w:b/>
                <w:bCs/>
                <w:color w:val="1F497D"/>
                <w:sz w:val="18"/>
                <w:szCs w:val="18"/>
                <w:lang w:eastAsia="it-IT"/>
              </w:rPr>
              <w:t xml:space="preserve"> Italy</w:t>
            </w:r>
          </w:p>
        </w:tc>
        <w:tc>
          <w:tcPr>
            <w:tcW w:w="544" w:type="pct"/>
            <w:tcBorders>
              <w:top w:val="nil"/>
              <w:left w:val="nil"/>
              <w:bottom w:val="dashed" w:sz="8"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b/>
                <w:bCs/>
                <w:color w:val="1F497D"/>
                <w:sz w:val="18"/>
                <w:szCs w:val="18"/>
                <w:lang w:eastAsia="it-IT"/>
              </w:rPr>
            </w:pPr>
            <w:r w:rsidRPr="00CF36FD">
              <w:rPr>
                <w:rFonts w:asciiTheme="majorHAnsi" w:eastAsia="Times New Roman" w:hAnsiTheme="majorHAnsi" w:cs="Arial"/>
                <w:b/>
                <w:bCs/>
                <w:color w:val="1F497D"/>
                <w:sz w:val="18"/>
                <w:szCs w:val="18"/>
                <w:lang w:eastAsia="it-IT"/>
              </w:rPr>
              <w:t>18,457,092</w:t>
            </w:r>
          </w:p>
        </w:tc>
        <w:tc>
          <w:tcPr>
            <w:tcW w:w="544" w:type="pct"/>
            <w:tcBorders>
              <w:top w:val="nil"/>
              <w:left w:val="nil"/>
              <w:bottom w:val="dashed" w:sz="8"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b/>
                <w:bCs/>
                <w:color w:val="1F497D"/>
                <w:sz w:val="18"/>
                <w:szCs w:val="18"/>
                <w:lang w:eastAsia="it-IT"/>
              </w:rPr>
            </w:pPr>
            <w:r w:rsidRPr="00CF36FD">
              <w:rPr>
                <w:rFonts w:asciiTheme="majorHAnsi" w:eastAsia="Times New Roman" w:hAnsiTheme="majorHAnsi" w:cs="Arial"/>
                <w:b/>
                <w:bCs/>
                <w:color w:val="1F497D"/>
                <w:sz w:val="18"/>
                <w:szCs w:val="18"/>
                <w:lang w:eastAsia="it-IT"/>
              </w:rPr>
              <w:t>19,658,560</w:t>
            </w:r>
          </w:p>
        </w:tc>
        <w:tc>
          <w:tcPr>
            <w:tcW w:w="544" w:type="pct"/>
            <w:tcBorders>
              <w:top w:val="nil"/>
              <w:left w:val="nil"/>
              <w:bottom w:val="dashed" w:sz="8"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b/>
                <w:bCs/>
                <w:color w:val="1F497D"/>
                <w:sz w:val="18"/>
                <w:szCs w:val="18"/>
                <w:lang w:eastAsia="it-IT"/>
              </w:rPr>
            </w:pPr>
            <w:r w:rsidRPr="00CF36FD">
              <w:rPr>
                <w:rFonts w:asciiTheme="majorHAnsi" w:eastAsia="Times New Roman" w:hAnsiTheme="majorHAnsi" w:cs="Arial"/>
                <w:b/>
                <w:bCs/>
                <w:color w:val="1F497D"/>
                <w:sz w:val="18"/>
                <w:szCs w:val="18"/>
                <w:lang w:eastAsia="it-IT"/>
              </w:rPr>
              <w:t>20,495,364</w:t>
            </w:r>
          </w:p>
        </w:tc>
        <w:tc>
          <w:tcPr>
            <w:tcW w:w="395" w:type="pct"/>
            <w:tcBorders>
              <w:top w:val="nil"/>
              <w:left w:val="nil"/>
              <w:bottom w:val="dashed" w:sz="8"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b/>
                <w:bCs/>
                <w:color w:val="1F497D"/>
                <w:sz w:val="18"/>
                <w:szCs w:val="18"/>
                <w:lang w:eastAsia="it-IT"/>
              </w:rPr>
            </w:pPr>
            <w:r w:rsidRPr="00CF36FD">
              <w:rPr>
                <w:rFonts w:asciiTheme="majorHAnsi" w:eastAsia="Times New Roman" w:hAnsiTheme="majorHAnsi" w:cs="Arial"/>
                <w:b/>
                <w:bCs/>
                <w:color w:val="1F497D"/>
                <w:sz w:val="18"/>
                <w:szCs w:val="18"/>
                <w:lang w:eastAsia="it-IT"/>
              </w:rPr>
              <w:t>4.3</w:t>
            </w:r>
          </w:p>
        </w:tc>
        <w:tc>
          <w:tcPr>
            <w:tcW w:w="544" w:type="pct"/>
            <w:tcBorders>
              <w:top w:val="nil"/>
              <w:left w:val="nil"/>
              <w:bottom w:val="dashed" w:sz="8"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b/>
                <w:bCs/>
                <w:color w:val="1F497D"/>
                <w:sz w:val="18"/>
                <w:szCs w:val="18"/>
                <w:lang w:eastAsia="it-IT"/>
              </w:rPr>
            </w:pPr>
            <w:r w:rsidRPr="00CF36FD">
              <w:rPr>
                <w:rFonts w:asciiTheme="majorHAnsi" w:eastAsia="Times New Roman" w:hAnsiTheme="majorHAnsi" w:cs="Arial"/>
                <w:b/>
                <w:bCs/>
                <w:color w:val="1F497D"/>
                <w:sz w:val="18"/>
                <w:szCs w:val="18"/>
                <w:lang w:eastAsia="it-IT"/>
              </w:rPr>
              <w:t>74,129,391</w:t>
            </w:r>
          </w:p>
        </w:tc>
        <w:tc>
          <w:tcPr>
            <w:tcW w:w="544" w:type="pct"/>
            <w:tcBorders>
              <w:top w:val="nil"/>
              <w:left w:val="nil"/>
              <w:bottom w:val="dashed" w:sz="8"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b/>
                <w:bCs/>
                <w:color w:val="1F497D"/>
                <w:sz w:val="18"/>
                <w:szCs w:val="18"/>
                <w:lang w:eastAsia="it-IT"/>
              </w:rPr>
            </w:pPr>
            <w:r w:rsidRPr="00CF36FD">
              <w:rPr>
                <w:rFonts w:asciiTheme="majorHAnsi" w:eastAsia="Times New Roman" w:hAnsiTheme="majorHAnsi" w:cs="Arial"/>
                <w:b/>
                <w:bCs/>
                <w:color w:val="1F497D"/>
                <w:sz w:val="18"/>
                <w:szCs w:val="18"/>
                <w:lang w:eastAsia="it-IT"/>
              </w:rPr>
              <w:t>76,408,753</w:t>
            </w:r>
          </w:p>
        </w:tc>
        <w:tc>
          <w:tcPr>
            <w:tcW w:w="544" w:type="pct"/>
            <w:tcBorders>
              <w:top w:val="nil"/>
              <w:left w:val="nil"/>
              <w:bottom w:val="dashed" w:sz="8"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b/>
                <w:bCs/>
                <w:color w:val="1F497D"/>
                <w:sz w:val="18"/>
                <w:szCs w:val="18"/>
                <w:lang w:eastAsia="it-IT"/>
              </w:rPr>
            </w:pPr>
            <w:r w:rsidRPr="00CF36FD">
              <w:rPr>
                <w:rFonts w:asciiTheme="majorHAnsi" w:eastAsia="Times New Roman" w:hAnsiTheme="majorHAnsi" w:cs="Arial"/>
                <w:b/>
                <w:bCs/>
                <w:color w:val="1F497D"/>
                <w:sz w:val="18"/>
                <w:szCs w:val="18"/>
                <w:lang w:eastAsia="it-IT"/>
              </w:rPr>
              <w:t>78,929,909</w:t>
            </w:r>
          </w:p>
        </w:tc>
        <w:tc>
          <w:tcPr>
            <w:tcW w:w="395" w:type="pct"/>
            <w:tcBorders>
              <w:top w:val="nil"/>
              <w:left w:val="nil"/>
              <w:bottom w:val="dashed" w:sz="8" w:space="0" w:color="1F497D"/>
              <w:right w:val="dashed" w:sz="8" w:space="0" w:color="1F497D"/>
            </w:tcBorders>
            <w:shd w:val="clear" w:color="auto" w:fill="auto"/>
            <w:noWrap/>
            <w:vAlign w:val="center"/>
            <w:hideMark/>
          </w:tcPr>
          <w:p w:rsidR="00D66F0A" w:rsidRPr="00CF36FD" w:rsidRDefault="00D66F0A" w:rsidP="00C33F57">
            <w:pPr>
              <w:jc w:val="right"/>
              <w:rPr>
                <w:rFonts w:asciiTheme="majorHAnsi" w:eastAsia="Times New Roman" w:hAnsiTheme="majorHAnsi" w:cs="Arial"/>
                <w:b/>
                <w:bCs/>
                <w:color w:val="1F497D"/>
                <w:sz w:val="18"/>
                <w:szCs w:val="18"/>
                <w:lang w:eastAsia="it-IT"/>
              </w:rPr>
            </w:pPr>
            <w:r w:rsidRPr="00CF36FD">
              <w:rPr>
                <w:rFonts w:asciiTheme="majorHAnsi" w:eastAsia="Times New Roman" w:hAnsiTheme="majorHAnsi" w:cs="Arial"/>
                <w:b/>
                <w:bCs/>
                <w:color w:val="1F497D"/>
                <w:sz w:val="18"/>
                <w:szCs w:val="18"/>
                <w:lang w:eastAsia="it-IT"/>
              </w:rPr>
              <w:t>3.3</w:t>
            </w:r>
          </w:p>
        </w:tc>
      </w:tr>
      <w:tr w:rsidR="00D66F0A" w:rsidRPr="00CF36FD" w:rsidTr="00C33F57">
        <w:trPr>
          <w:trHeight w:val="315"/>
        </w:trPr>
        <w:tc>
          <w:tcPr>
            <w:tcW w:w="948" w:type="pct"/>
            <w:tcBorders>
              <w:top w:val="nil"/>
              <w:left w:val="nil"/>
              <w:bottom w:val="single" w:sz="12" w:space="0" w:color="1F497D"/>
              <w:right w:val="nil"/>
            </w:tcBorders>
            <w:shd w:val="clear" w:color="auto" w:fill="auto"/>
            <w:vAlign w:val="center"/>
            <w:hideMark/>
          </w:tcPr>
          <w:p w:rsidR="00D66F0A" w:rsidRPr="00CF36FD" w:rsidRDefault="00D66F0A" w:rsidP="00C33F57">
            <w:pPr>
              <w:jc w:val="left"/>
              <w:rPr>
                <w:rFonts w:asciiTheme="majorHAnsi" w:eastAsia="Times New Roman" w:hAnsiTheme="majorHAnsi" w:cs="Arial"/>
                <w:b/>
                <w:bCs/>
                <w:sz w:val="18"/>
                <w:szCs w:val="18"/>
                <w:lang w:eastAsia="it-IT"/>
              </w:rPr>
            </w:pPr>
            <w:r w:rsidRPr="00CF36FD">
              <w:rPr>
                <w:rFonts w:asciiTheme="majorHAnsi" w:eastAsia="Times New Roman" w:hAnsiTheme="majorHAnsi" w:cs="Arial"/>
                <w:b/>
                <w:bCs/>
                <w:sz w:val="18"/>
                <w:szCs w:val="18"/>
                <w:lang w:eastAsia="it-IT"/>
              </w:rPr>
              <w:t>Italy</w:t>
            </w:r>
          </w:p>
        </w:tc>
        <w:tc>
          <w:tcPr>
            <w:tcW w:w="544" w:type="pct"/>
            <w:tcBorders>
              <w:top w:val="nil"/>
              <w:left w:val="nil"/>
              <w:bottom w:val="single" w:sz="12"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106,552,352</w:t>
            </w:r>
          </w:p>
        </w:tc>
        <w:tc>
          <w:tcPr>
            <w:tcW w:w="544" w:type="pct"/>
            <w:tcBorders>
              <w:top w:val="nil"/>
              <w:left w:val="nil"/>
              <w:bottom w:val="single" w:sz="12"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113,392,137</w:t>
            </w:r>
          </w:p>
        </w:tc>
        <w:tc>
          <w:tcPr>
            <w:tcW w:w="544" w:type="pct"/>
            <w:tcBorders>
              <w:top w:val="nil"/>
              <w:left w:val="nil"/>
              <w:bottom w:val="single" w:sz="12"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116,944,243</w:t>
            </w:r>
          </w:p>
        </w:tc>
        <w:tc>
          <w:tcPr>
            <w:tcW w:w="395" w:type="pct"/>
            <w:tcBorders>
              <w:top w:val="nil"/>
              <w:left w:val="nil"/>
              <w:bottom w:val="single" w:sz="12"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3.1</w:t>
            </w:r>
          </w:p>
        </w:tc>
        <w:tc>
          <w:tcPr>
            <w:tcW w:w="544" w:type="pct"/>
            <w:tcBorders>
              <w:top w:val="nil"/>
              <w:left w:val="nil"/>
              <w:bottom w:val="single" w:sz="12"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377,770,806</w:t>
            </w:r>
          </w:p>
        </w:tc>
        <w:tc>
          <w:tcPr>
            <w:tcW w:w="544" w:type="pct"/>
            <w:tcBorders>
              <w:top w:val="nil"/>
              <w:left w:val="nil"/>
              <w:bottom w:val="single" w:sz="12"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392,874,070</w:t>
            </w:r>
          </w:p>
        </w:tc>
        <w:tc>
          <w:tcPr>
            <w:tcW w:w="544" w:type="pct"/>
            <w:tcBorders>
              <w:top w:val="nil"/>
              <w:left w:val="nil"/>
              <w:bottom w:val="single" w:sz="12"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402,962,113</w:t>
            </w:r>
          </w:p>
        </w:tc>
        <w:tc>
          <w:tcPr>
            <w:tcW w:w="395" w:type="pct"/>
            <w:tcBorders>
              <w:top w:val="nil"/>
              <w:left w:val="nil"/>
              <w:bottom w:val="single" w:sz="12" w:space="0" w:color="1F497D"/>
              <w:right w:val="nil"/>
            </w:tcBorders>
            <w:shd w:val="clear" w:color="auto" w:fill="auto"/>
            <w:noWrap/>
            <w:vAlign w:val="center"/>
            <w:hideMark/>
          </w:tcPr>
          <w:p w:rsidR="00D66F0A" w:rsidRPr="00CF36FD" w:rsidRDefault="00D66F0A" w:rsidP="00C33F57">
            <w:pPr>
              <w:jc w:val="right"/>
              <w:rPr>
                <w:rFonts w:asciiTheme="majorHAnsi" w:eastAsia="Times New Roman" w:hAnsiTheme="majorHAnsi" w:cs="Arial"/>
                <w:sz w:val="16"/>
                <w:szCs w:val="16"/>
                <w:lang w:eastAsia="it-IT"/>
              </w:rPr>
            </w:pPr>
            <w:r w:rsidRPr="00CF36FD">
              <w:rPr>
                <w:rFonts w:asciiTheme="majorHAnsi" w:eastAsia="Times New Roman" w:hAnsiTheme="majorHAnsi" w:cs="Arial"/>
                <w:sz w:val="16"/>
                <w:szCs w:val="16"/>
                <w:lang w:eastAsia="it-IT"/>
              </w:rPr>
              <w:t>2.6</w:t>
            </w:r>
          </w:p>
        </w:tc>
      </w:tr>
    </w:tbl>
    <w:p w:rsidR="00FF0199" w:rsidRPr="00FF0199" w:rsidRDefault="00FF0199" w:rsidP="00FF0199">
      <w:pPr>
        <w:autoSpaceDE w:val="0"/>
        <w:autoSpaceDN w:val="0"/>
        <w:adjustRightInd w:val="0"/>
        <w:jc w:val="left"/>
        <w:rPr>
          <w:rFonts w:ascii="HelveticaLTStd-Cond" w:hAnsi="HelveticaLTStd-Cond" w:cs="HelveticaLTStd-Cond"/>
          <w:sz w:val="18"/>
          <w:szCs w:val="18"/>
          <w:lang w:val="en-US" w:eastAsia="it-IT"/>
        </w:rPr>
      </w:pPr>
      <w:r w:rsidRPr="00FF0199">
        <w:rPr>
          <w:rFonts w:ascii="HelveticaLTStd-Cond" w:hAnsi="HelveticaLTStd-Cond" w:cs="HelveticaLTStd-Cond"/>
          <w:sz w:val="18"/>
          <w:szCs w:val="18"/>
          <w:lang w:val="en-US" w:eastAsia="it-IT"/>
        </w:rPr>
        <w:t>*Number of clients, both Italian and foreigner, hosted in accommodation companies (hotels and complementary businesses included)</w:t>
      </w:r>
    </w:p>
    <w:p w:rsidR="00FF0199" w:rsidRDefault="00FF0199" w:rsidP="00FF0199">
      <w:pPr>
        <w:autoSpaceDE w:val="0"/>
        <w:autoSpaceDN w:val="0"/>
        <w:adjustRightInd w:val="0"/>
        <w:jc w:val="left"/>
        <w:rPr>
          <w:rFonts w:ascii="HelveticaLTStd-Cond" w:hAnsi="HelveticaLTStd-Cond" w:cs="HelveticaLTStd-Cond"/>
          <w:sz w:val="18"/>
          <w:szCs w:val="18"/>
          <w:lang w:val="en-US" w:eastAsia="it-IT"/>
        </w:rPr>
      </w:pPr>
      <w:r w:rsidRPr="00FF0199">
        <w:rPr>
          <w:rFonts w:ascii="HelveticaLTStd-Cond" w:hAnsi="HelveticaLTStd-Cond" w:cs="HelveticaLTStd-Cond"/>
          <w:sz w:val="18"/>
          <w:szCs w:val="18"/>
          <w:lang w:val="en-US" w:eastAsia="it-IT"/>
        </w:rPr>
        <w:t>**Number of nights</w:t>
      </w:r>
    </w:p>
    <w:p w:rsidR="00D4748D" w:rsidRPr="00FF0199" w:rsidRDefault="00D4748D" w:rsidP="00FF0199">
      <w:pPr>
        <w:autoSpaceDE w:val="0"/>
        <w:autoSpaceDN w:val="0"/>
        <w:adjustRightInd w:val="0"/>
        <w:jc w:val="left"/>
        <w:rPr>
          <w:rFonts w:asciiTheme="majorHAnsi" w:hAnsiTheme="majorHAnsi"/>
          <w:sz w:val="18"/>
          <w:szCs w:val="18"/>
          <w:lang w:val="en-US"/>
        </w:rPr>
      </w:pPr>
      <w:r w:rsidRPr="00FF0199">
        <w:rPr>
          <w:rFonts w:asciiTheme="majorHAnsi" w:hAnsiTheme="majorHAnsi"/>
          <w:sz w:val="18"/>
          <w:szCs w:val="18"/>
          <w:lang w:val="en-US"/>
        </w:rPr>
        <w:t xml:space="preserve">Source: Confindustria and SRM elaborations on </w:t>
      </w:r>
      <w:proofErr w:type="spellStart"/>
      <w:r w:rsidRPr="00FF0199">
        <w:rPr>
          <w:rFonts w:asciiTheme="majorHAnsi" w:hAnsiTheme="majorHAnsi"/>
          <w:sz w:val="18"/>
          <w:szCs w:val="18"/>
          <w:lang w:val="en-US"/>
        </w:rPr>
        <w:t>Istat</w:t>
      </w:r>
      <w:proofErr w:type="spellEnd"/>
      <w:r w:rsidRPr="00FF0199">
        <w:rPr>
          <w:rFonts w:asciiTheme="majorHAnsi" w:hAnsiTheme="majorHAnsi"/>
          <w:sz w:val="18"/>
          <w:szCs w:val="18"/>
          <w:lang w:val="en-US"/>
        </w:rPr>
        <w:t xml:space="preserve"> data</w:t>
      </w:r>
    </w:p>
    <w:p w:rsidR="00D4748D" w:rsidRPr="00FF0199" w:rsidRDefault="00D4748D" w:rsidP="00432E86">
      <w:pPr>
        <w:shd w:val="clear" w:color="auto" w:fill="FFFFFF"/>
        <w:spacing w:after="120"/>
        <w:rPr>
          <w:rFonts w:asciiTheme="majorHAnsi" w:hAnsiTheme="majorHAnsi"/>
          <w:b/>
          <w:lang w:val="en-US"/>
        </w:rPr>
      </w:pPr>
    </w:p>
    <w:p w:rsidR="00D4748D" w:rsidRPr="00FF0199" w:rsidRDefault="00D4748D" w:rsidP="00432E86">
      <w:pPr>
        <w:shd w:val="clear" w:color="auto" w:fill="FFFFFF"/>
        <w:spacing w:after="120"/>
        <w:rPr>
          <w:rFonts w:asciiTheme="majorHAnsi" w:hAnsiTheme="majorHAnsi"/>
          <w:b/>
          <w:lang w:val="en-US"/>
        </w:rPr>
      </w:pPr>
    </w:p>
    <w:p w:rsidR="00CF36FD" w:rsidRPr="00FF0199" w:rsidRDefault="00CF36FD" w:rsidP="00432E86">
      <w:pPr>
        <w:shd w:val="clear" w:color="auto" w:fill="FFFFFF"/>
        <w:spacing w:after="120"/>
        <w:rPr>
          <w:rFonts w:asciiTheme="majorHAnsi" w:hAnsiTheme="majorHAnsi"/>
          <w:b/>
          <w:lang w:val="en-US"/>
        </w:rPr>
      </w:pPr>
    </w:p>
    <w:p w:rsidR="00D4748D" w:rsidRPr="00FF0199" w:rsidRDefault="00D4748D" w:rsidP="00432E86">
      <w:pPr>
        <w:shd w:val="clear" w:color="auto" w:fill="FFFFFF"/>
        <w:spacing w:after="120"/>
        <w:rPr>
          <w:rFonts w:asciiTheme="majorHAnsi" w:hAnsiTheme="majorHAnsi"/>
          <w:b/>
          <w:lang w:val="en-US"/>
        </w:rPr>
      </w:pPr>
    </w:p>
    <w:p w:rsidR="00432E86" w:rsidRPr="002D271A" w:rsidRDefault="002D271A" w:rsidP="00432E86">
      <w:pPr>
        <w:shd w:val="clear" w:color="auto" w:fill="FFFFFF"/>
        <w:spacing w:after="120"/>
        <w:rPr>
          <w:rFonts w:asciiTheme="majorHAnsi" w:hAnsiTheme="majorHAnsi"/>
          <w:b/>
          <w:lang w:val="en-US"/>
        </w:rPr>
      </w:pPr>
      <w:r w:rsidRPr="002D271A">
        <w:rPr>
          <w:rFonts w:asciiTheme="majorHAnsi" w:hAnsiTheme="majorHAnsi"/>
          <w:b/>
          <w:lang w:val="en-US"/>
        </w:rPr>
        <w:t xml:space="preserve">Expenditure of foreign </w:t>
      </w:r>
      <w:proofErr w:type="spellStart"/>
      <w:r w:rsidRPr="002D271A">
        <w:rPr>
          <w:rFonts w:asciiTheme="majorHAnsi" w:hAnsiTheme="majorHAnsi"/>
          <w:b/>
          <w:lang w:val="en-US"/>
        </w:rPr>
        <w:t>travellers</w:t>
      </w:r>
      <w:proofErr w:type="spellEnd"/>
      <w:r w:rsidRPr="002D271A">
        <w:rPr>
          <w:rFonts w:asciiTheme="majorHAnsi" w:hAnsiTheme="majorHAnsi"/>
          <w:b/>
          <w:lang w:val="en-US"/>
        </w:rPr>
        <w:t xml:space="preserve"> in the </w:t>
      </w:r>
      <w:proofErr w:type="spellStart"/>
      <w:r w:rsidRPr="002D271A">
        <w:rPr>
          <w:rFonts w:asciiTheme="majorHAnsi" w:hAnsiTheme="majorHAnsi"/>
          <w:b/>
          <w:lang w:val="en-US"/>
        </w:rPr>
        <w:t>Mezzogiorno</w:t>
      </w:r>
      <w:proofErr w:type="spellEnd"/>
      <w:r w:rsidRPr="002D271A">
        <w:rPr>
          <w:rFonts w:asciiTheme="majorHAnsi" w:hAnsiTheme="majorHAnsi"/>
          <w:b/>
          <w:lang w:val="en-US"/>
        </w:rPr>
        <w:t xml:space="preserve"> regions (years 2016-2017, values in </w:t>
      </w:r>
      <w:proofErr w:type="spellStart"/>
      <w:r w:rsidRPr="002D271A">
        <w:rPr>
          <w:rFonts w:asciiTheme="majorHAnsi" w:hAnsiTheme="majorHAnsi"/>
          <w:b/>
          <w:lang w:val="en-US"/>
        </w:rPr>
        <w:t>mn</w:t>
      </w:r>
      <w:proofErr w:type="spellEnd"/>
      <w:r w:rsidRPr="002D271A">
        <w:rPr>
          <w:rFonts w:asciiTheme="majorHAnsi" w:hAnsiTheme="majorHAnsi"/>
          <w:b/>
          <w:lang w:val="en-US"/>
        </w:rPr>
        <w:t xml:space="preserve"> of euro and % var.).</w:t>
      </w:r>
    </w:p>
    <w:tbl>
      <w:tblPr>
        <w:tblW w:w="5000" w:type="pct"/>
        <w:tblCellMar>
          <w:left w:w="70" w:type="dxa"/>
          <w:right w:w="70" w:type="dxa"/>
        </w:tblCellMar>
        <w:tblLook w:val="04A0" w:firstRow="1" w:lastRow="0" w:firstColumn="1" w:lastColumn="0" w:noHBand="0" w:noVBand="1"/>
      </w:tblPr>
      <w:tblGrid>
        <w:gridCol w:w="2104"/>
        <w:gridCol w:w="1031"/>
        <w:gridCol w:w="1033"/>
        <w:gridCol w:w="1031"/>
        <w:gridCol w:w="1033"/>
        <w:gridCol w:w="1031"/>
        <w:gridCol w:w="1033"/>
        <w:gridCol w:w="1482"/>
      </w:tblGrid>
      <w:tr w:rsidR="00D66F0A" w:rsidRPr="00D4748D" w:rsidTr="00D4748D">
        <w:trPr>
          <w:trHeight w:val="300"/>
        </w:trPr>
        <w:tc>
          <w:tcPr>
            <w:tcW w:w="1076" w:type="pct"/>
            <w:tcBorders>
              <w:top w:val="nil"/>
              <w:left w:val="nil"/>
              <w:bottom w:val="nil"/>
              <w:right w:val="nil"/>
            </w:tcBorders>
            <w:shd w:val="clear" w:color="000000" w:fill="1F497D"/>
            <w:vAlign w:val="center"/>
            <w:hideMark/>
          </w:tcPr>
          <w:p w:rsidR="00D66F0A" w:rsidRPr="002D271A" w:rsidRDefault="00D66F0A" w:rsidP="00D66F0A">
            <w:pPr>
              <w:jc w:val="left"/>
              <w:rPr>
                <w:rFonts w:eastAsia="Times New Roman" w:cs="Calibri"/>
                <w:sz w:val="20"/>
                <w:szCs w:val="20"/>
                <w:lang w:val="en-US" w:eastAsia="it-IT"/>
              </w:rPr>
            </w:pPr>
            <w:r w:rsidRPr="002D271A">
              <w:rPr>
                <w:rFonts w:eastAsia="Times New Roman" w:cs="Calibri"/>
                <w:sz w:val="20"/>
                <w:szCs w:val="20"/>
                <w:lang w:val="en-US" w:eastAsia="it-IT"/>
              </w:rPr>
              <w:t> </w:t>
            </w:r>
          </w:p>
        </w:tc>
        <w:tc>
          <w:tcPr>
            <w:tcW w:w="1055" w:type="pct"/>
            <w:gridSpan w:val="2"/>
            <w:tcBorders>
              <w:top w:val="nil"/>
              <w:left w:val="nil"/>
              <w:bottom w:val="nil"/>
              <w:right w:val="nil"/>
            </w:tcBorders>
            <w:shd w:val="clear" w:color="000000" w:fill="1F497D"/>
            <w:vAlign w:val="center"/>
            <w:hideMark/>
          </w:tcPr>
          <w:p w:rsidR="00D66F0A" w:rsidRPr="00D4748D" w:rsidRDefault="00D66F0A" w:rsidP="00D66F0A">
            <w:pPr>
              <w:jc w:val="center"/>
              <w:rPr>
                <w:rFonts w:eastAsia="Times New Roman" w:cs="Calibri"/>
                <w:color w:val="FFFFFF"/>
                <w:sz w:val="20"/>
                <w:szCs w:val="20"/>
                <w:lang w:eastAsia="it-IT"/>
              </w:rPr>
            </w:pPr>
            <w:r w:rsidRPr="00D4748D">
              <w:rPr>
                <w:rFonts w:eastAsia="Times New Roman" w:cs="Calibri"/>
                <w:color w:val="FFFFFF"/>
                <w:sz w:val="20"/>
                <w:szCs w:val="20"/>
                <w:lang w:eastAsia="it-IT"/>
              </w:rPr>
              <w:t>2016</w:t>
            </w:r>
          </w:p>
        </w:tc>
        <w:tc>
          <w:tcPr>
            <w:tcW w:w="1055" w:type="pct"/>
            <w:gridSpan w:val="2"/>
            <w:tcBorders>
              <w:top w:val="nil"/>
              <w:left w:val="nil"/>
              <w:bottom w:val="nil"/>
              <w:right w:val="nil"/>
            </w:tcBorders>
            <w:shd w:val="clear" w:color="000000" w:fill="1F497D"/>
            <w:vAlign w:val="center"/>
            <w:hideMark/>
          </w:tcPr>
          <w:p w:rsidR="00D66F0A" w:rsidRPr="00D4748D" w:rsidRDefault="00D66F0A" w:rsidP="00D66F0A">
            <w:pPr>
              <w:jc w:val="center"/>
              <w:rPr>
                <w:rFonts w:eastAsia="Times New Roman" w:cs="Calibri"/>
                <w:color w:val="FFFFFF"/>
                <w:sz w:val="20"/>
                <w:szCs w:val="20"/>
                <w:lang w:eastAsia="it-IT"/>
              </w:rPr>
            </w:pPr>
            <w:r w:rsidRPr="00D4748D">
              <w:rPr>
                <w:rFonts w:eastAsia="Times New Roman" w:cs="Calibri"/>
                <w:color w:val="FFFFFF"/>
                <w:sz w:val="20"/>
                <w:szCs w:val="20"/>
                <w:lang w:eastAsia="it-IT"/>
              </w:rPr>
              <w:t xml:space="preserve">2016 </w:t>
            </w:r>
            <w:proofErr w:type="spellStart"/>
            <w:r w:rsidRPr="00D4748D">
              <w:rPr>
                <w:rFonts w:eastAsia="Times New Roman" w:cs="Calibri"/>
                <w:color w:val="FFFFFF"/>
                <w:sz w:val="20"/>
                <w:szCs w:val="20"/>
                <w:lang w:eastAsia="it-IT"/>
              </w:rPr>
              <w:t>jan-aug</w:t>
            </w:r>
            <w:proofErr w:type="spellEnd"/>
          </w:p>
        </w:tc>
        <w:tc>
          <w:tcPr>
            <w:tcW w:w="1055" w:type="pct"/>
            <w:gridSpan w:val="2"/>
            <w:tcBorders>
              <w:top w:val="nil"/>
              <w:left w:val="nil"/>
              <w:bottom w:val="nil"/>
              <w:right w:val="nil"/>
            </w:tcBorders>
            <w:shd w:val="clear" w:color="000000" w:fill="1F497D"/>
            <w:vAlign w:val="center"/>
            <w:hideMark/>
          </w:tcPr>
          <w:p w:rsidR="00D66F0A" w:rsidRPr="00D4748D" w:rsidRDefault="00D66F0A" w:rsidP="00D66F0A">
            <w:pPr>
              <w:jc w:val="center"/>
              <w:rPr>
                <w:rFonts w:eastAsia="Times New Roman" w:cs="Calibri"/>
                <w:color w:val="FFFFFF"/>
                <w:sz w:val="20"/>
                <w:szCs w:val="20"/>
                <w:lang w:eastAsia="it-IT"/>
              </w:rPr>
            </w:pPr>
            <w:r w:rsidRPr="00D4748D">
              <w:rPr>
                <w:rFonts w:eastAsia="Times New Roman" w:cs="Calibri"/>
                <w:color w:val="FFFFFF"/>
                <w:sz w:val="20"/>
                <w:szCs w:val="20"/>
                <w:lang w:eastAsia="it-IT"/>
              </w:rPr>
              <w:t xml:space="preserve">2017 </w:t>
            </w:r>
            <w:proofErr w:type="spellStart"/>
            <w:r w:rsidRPr="00D4748D">
              <w:rPr>
                <w:rFonts w:eastAsia="Times New Roman" w:cs="Calibri"/>
                <w:color w:val="FFFFFF"/>
                <w:sz w:val="20"/>
                <w:szCs w:val="20"/>
                <w:lang w:eastAsia="it-IT"/>
              </w:rPr>
              <w:t>jan-aug</w:t>
            </w:r>
            <w:proofErr w:type="spellEnd"/>
          </w:p>
        </w:tc>
        <w:tc>
          <w:tcPr>
            <w:tcW w:w="758" w:type="pct"/>
            <w:vMerge w:val="restart"/>
            <w:tcBorders>
              <w:top w:val="nil"/>
              <w:left w:val="nil"/>
              <w:bottom w:val="nil"/>
              <w:right w:val="nil"/>
            </w:tcBorders>
            <w:shd w:val="clear" w:color="000000" w:fill="1F497D"/>
            <w:vAlign w:val="center"/>
            <w:hideMark/>
          </w:tcPr>
          <w:p w:rsidR="00D66F0A" w:rsidRPr="00D4748D" w:rsidRDefault="00D66F0A" w:rsidP="00D66F0A">
            <w:pPr>
              <w:jc w:val="center"/>
              <w:rPr>
                <w:rFonts w:eastAsia="Times New Roman" w:cs="Calibri"/>
                <w:color w:val="FFFFFF"/>
                <w:sz w:val="20"/>
                <w:szCs w:val="20"/>
                <w:lang w:eastAsia="it-IT"/>
              </w:rPr>
            </w:pPr>
            <w:proofErr w:type="spellStart"/>
            <w:r w:rsidRPr="00D4748D">
              <w:rPr>
                <w:rFonts w:eastAsia="Times New Roman" w:cs="Calibri"/>
                <w:color w:val="FFFFFF"/>
                <w:sz w:val="20"/>
                <w:szCs w:val="20"/>
                <w:lang w:eastAsia="it-IT"/>
              </w:rPr>
              <w:t>Var</w:t>
            </w:r>
            <w:proofErr w:type="spellEnd"/>
            <w:r w:rsidRPr="00D4748D">
              <w:rPr>
                <w:rFonts w:eastAsia="Times New Roman" w:cs="Calibri"/>
                <w:color w:val="FFFFFF"/>
                <w:sz w:val="20"/>
                <w:szCs w:val="20"/>
                <w:lang w:eastAsia="it-IT"/>
              </w:rPr>
              <w:t>. 2016/2017</w:t>
            </w:r>
          </w:p>
        </w:tc>
      </w:tr>
      <w:tr w:rsidR="00D66F0A" w:rsidRPr="00D4748D" w:rsidTr="00D4748D">
        <w:trPr>
          <w:trHeight w:val="510"/>
        </w:trPr>
        <w:tc>
          <w:tcPr>
            <w:tcW w:w="1076" w:type="pct"/>
            <w:tcBorders>
              <w:top w:val="nil"/>
              <w:left w:val="nil"/>
              <w:bottom w:val="nil"/>
              <w:right w:val="nil"/>
            </w:tcBorders>
            <w:shd w:val="clear" w:color="000000" w:fill="1F497D"/>
            <w:vAlign w:val="center"/>
            <w:hideMark/>
          </w:tcPr>
          <w:p w:rsidR="00D66F0A" w:rsidRPr="00D4748D" w:rsidRDefault="00D66F0A" w:rsidP="00D66F0A">
            <w:pPr>
              <w:jc w:val="left"/>
              <w:rPr>
                <w:rFonts w:eastAsia="Times New Roman" w:cs="Calibri"/>
                <w:sz w:val="20"/>
                <w:szCs w:val="20"/>
                <w:lang w:eastAsia="it-IT"/>
              </w:rPr>
            </w:pPr>
            <w:r w:rsidRPr="00D4748D">
              <w:rPr>
                <w:rFonts w:eastAsia="Times New Roman" w:cs="Calibri"/>
                <w:sz w:val="20"/>
                <w:szCs w:val="20"/>
                <w:lang w:eastAsia="it-IT"/>
              </w:rPr>
              <w:t> </w:t>
            </w:r>
          </w:p>
        </w:tc>
        <w:tc>
          <w:tcPr>
            <w:tcW w:w="527" w:type="pct"/>
            <w:tcBorders>
              <w:top w:val="nil"/>
              <w:left w:val="nil"/>
              <w:bottom w:val="nil"/>
              <w:right w:val="nil"/>
            </w:tcBorders>
            <w:shd w:val="clear" w:color="000000" w:fill="1F497D"/>
            <w:noWrap/>
            <w:vAlign w:val="center"/>
            <w:hideMark/>
          </w:tcPr>
          <w:p w:rsidR="00D66F0A" w:rsidRPr="00D4748D" w:rsidRDefault="00D66F0A" w:rsidP="00D66F0A">
            <w:pPr>
              <w:jc w:val="left"/>
              <w:rPr>
                <w:rFonts w:eastAsia="Times New Roman" w:cs="Calibri"/>
                <w:b/>
                <w:bCs/>
                <w:color w:val="FFFFFF"/>
                <w:sz w:val="20"/>
                <w:szCs w:val="20"/>
                <w:lang w:eastAsia="it-IT"/>
              </w:rPr>
            </w:pPr>
            <w:r w:rsidRPr="00D4748D">
              <w:rPr>
                <w:rFonts w:eastAsia="Times New Roman" w:cs="Calibri"/>
                <w:b/>
                <w:bCs/>
                <w:color w:val="FFFFFF"/>
                <w:sz w:val="20"/>
                <w:szCs w:val="20"/>
                <w:lang w:eastAsia="it-IT"/>
              </w:rPr>
              <w:t>Total</w:t>
            </w:r>
          </w:p>
        </w:tc>
        <w:tc>
          <w:tcPr>
            <w:tcW w:w="528" w:type="pct"/>
            <w:tcBorders>
              <w:top w:val="nil"/>
              <w:left w:val="nil"/>
              <w:bottom w:val="nil"/>
              <w:right w:val="nil"/>
            </w:tcBorders>
            <w:shd w:val="clear" w:color="000000" w:fill="1F497D"/>
            <w:vAlign w:val="center"/>
            <w:hideMark/>
          </w:tcPr>
          <w:p w:rsidR="00D66F0A" w:rsidRPr="00D4748D" w:rsidRDefault="00D66F0A" w:rsidP="00D66F0A">
            <w:pPr>
              <w:jc w:val="center"/>
              <w:rPr>
                <w:rFonts w:eastAsia="Times New Roman" w:cs="Calibri"/>
                <w:b/>
                <w:bCs/>
                <w:color w:val="FFFFFF"/>
                <w:sz w:val="20"/>
                <w:szCs w:val="20"/>
                <w:lang w:eastAsia="it-IT"/>
              </w:rPr>
            </w:pPr>
            <w:r w:rsidRPr="00D4748D">
              <w:rPr>
                <w:rFonts w:eastAsia="Times New Roman" w:cs="Calibri"/>
                <w:b/>
                <w:bCs/>
                <w:color w:val="FFFFFF"/>
                <w:sz w:val="20"/>
                <w:szCs w:val="20"/>
                <w:lang w:eastAsia="it-IT"/>
              </w:rPr>
              <w:t xml:space="preserve">of </w:t>
            </w:r>
            <w:proofErr w:type="spellStart"/>
            <w:r w:rsidRPr="00D4748D">
              <w:rPr>
                <w:rFonts w:eastAsia="Times New Roman" w:cs="Calibri"/>
                <w:b/>
                <w:bCs/>
                <w:color w:val="FFFFFF"/>
                <w:sz w:val="20"/>
                <w:szCs w:val="20"/>
                <w:lang w:eastAsia="it-IT"/>
              </w:rPr>
              <w:t>which</w:t>
            </w:r>
            <w:proofErr w:type="spellEnd"/>
            <w:r w:rsidRPr="00D4748D">
              <w:rPr>
                <w:rFonts w:eastAsia="Times New Roman" w:cs="Calibri"/>
                <w:b/>
                <w:bCs/>
                <w:color w:val="FFFFFF"/>
                <w:sz w:val="20"/>
                <w:szCs w:val="20"/>
                <w:lang w:eastAsia="it-IT"/>
              </w:rPr>
              <w:t xml:space="preserve"> </w:t>
            </w:r>
            <w:proofErr w:type="spellStart"/>
            <w:r w:rsidRPr="00D4748D">
              <w:rPr>
                <w:rFonts w:eastAsia="Times New Roman" w:cs="Calibri"/>
                <w:b/>
                <w:bCs/>
                <w:color w:val="FFFFFF"/>
                <w:sz w:val="20"/>
                <w:szCs w:val="20"/>
                <w:lang w:eastAsia="it-IT"/>
              </w:rPr>
              <w:t>holidays</w:t>
            </w:r>
            <w:proofErr w:type="spellEnd"/>
          </w:p>
        </w:tc>
        <w:tc>
          <w:tcPr>
            <w:tcW w:w="527" w:type="pct"/>
            <w:tcBorders>
              <w:top w:val="nil"/>
              <w:left w:val="nil"/>
              <w:bottom w:val="nil"/>
              <w:right w:val="nil"/>
            </w:tcBorders>
            <w:shd w:val="clear" w:color="000000" w:fill="1F497D"/>
            <w:vAlign w:val="center"/>
            <w:hideMark/>
          </w:tcPr>
          <w:p w:rsidR="00D66F0A" w:rsidRPr="00D4748D" w:rsidRDefault="00D66F0A" w:rsidP="00D66F0A">
            <w:pPr>
              <w:jc w:val="center"/>
              <w:rPr>
                <w:rFonts w:eastAsia="Times New Roman" w:cs="Calibri"/>
                <w:b/>
                <w:bCs/>
                <w:color w:val="FFFFFF"/>
                <w:sz w:val="20"/>
                <w:szCs w:val="20"/>
                <w:lang w:eastAsia="it-IT"/>
              </w:rPr>
            </w:pPr>
            <w:r w:rsidRPr="00D4748D">
              <w:rPr>
                <w:rFonts w:eastAsia="Times New Roman" w:cs="Calibri"/>
                <w:b/>
                <w:bCs/>
                <w:color w:val="FFFFFF"/>
                <w:sz w:val="20"/>
                <w:szCs w:val="20"/>
                <w:lang w:eastAsia="it-IT"/>
              </w:rPr>
              <w:t>Total</w:t>
            </w:r>
          </w:p>
        </w:tc>
        <w:tc>
          <w:tcPr>
            <w:tcW w:w="528" w:type="pct"/>
            <w:tcBorders>
              <w:top w:val="nil"/>
              <w:left w:val="nil"/>
              <w:bottom w:val="nil"/>
              <w:right w:val="nil"/>
            </w:tcBorders>
            <w:shd w:val="clear" w:color="000000" w:fill="1F497D"/>
            <w:vAlign w:val="center"/>
            <w:hideMark/>
          </w:tcPr>
          <w:p w:rsidR="00D66F0A" w:rsidRPr="00D4748D" w:rsidRDefault="00D66F0A" w:rsidP="00D66F0A">
            <w:pPr>
              <w:jc w:val="center"/>
              <w:rPr>
                <w:rFonts w:eastAsia="Times New Roman" w:cs="Calibri"/>
                <w:b/>
                <w:bCs/>
                <w:color w:val="FFFFFF"/>
                <w:sz w:val="20"/>
                <w:szCs w:val="20"/>
                <w:lang w:eastAsia="it-IT"/>
              </w:rPr>
            </w:pPr>
            <w:r w:rsidRPr="00D4748D">
              <w:rPr>
                <w:rFonts w:eastAsia="Times New Roman" w:cs="Calibri"/>
                <w:b/>
                <w:bCs/>
                <w:color w:val="FFFFFF"/>
                <w:sz w:val="20"/>
                <w:szCs w:val="20"/>
                <w:lang w:eastAsia="it-IT"/>
              </w:rPr>
              <w:t xml:space="preserve">of </w:t>
            </w:r>
            <w:proofErr w:type="spellStart"/>
            <w:r w:rsidRPr="00D4748D">
              <w:rPr>
                <w:rFonts w:eastAsia="Times New Roman" w:cs="Calibri"/>
                <w:b/>
                <w:bCs/>
                <w:color w:val="FFFFFF"/>
                <w:sz w:val="20"/>
                <w:szCs w:val="20"/>
                <w:lang w:eastAsia="it-IT"/>
              </w:rPr>
              <w:t>which</w:t>
            </w:r>
            <w:proofErr w:type="spellEnd"/>
            <w:r w:rsidRPr="00D4748D">
              <w:rPr>
                <w:rFonts w:eastAsia="Times New Roman" w:cs="Calibri"/>
                <w:b/>
                <w:bCs/>
                <w:color w:val="FFFFFF"/>
                <w:sz w:val="20"/>
                <w:szCs w:val="20"/>
                <w:lang w:eastAsia="it-IT"/>
              </w:rPr>
              <w:t xml:space="preserve"> </w:t>
            </w:r>
            <w:proofErr w:type="spellStart"/>
            <w:r w:rsidRPr="00D4748D">
              <w:rPr>
                <w:rFonts w:eastAsia="Times New Roman" w:cs="Calibri"/>
                <w:b/>
                <w:bCs/>
                <w:color w:val="FFFFFF"/>
                <w:sz w:val="20"/>
                <w:szCs w:val="20"/>
                <w:lang w:eastAsia="it-IT"/>
              </w:rPr>
              <w:t>holidays</w:t>
            </w:r>
            <w:proofErr w:type="spellEnd"/>
          </w:p>
        </w:tc>
        <w:tc>
          <w:tcPr>
            <w:tcW w:w="527" w:type="pct"/>
            <w:tcBorders>
              <w:top w:val="nil"/>
              <w:left w:val="nil"/>
              <w:bottom w:val="nil"/>
              <w:right w:val="nil"/>
            </w:tcBorders>
            <w:shd w:val="clear" w:color="000000" w:fill="1F497D"/>
            <w:vAlign w:val="center"/>
            <w:hideMark/>
          </w:tcPr>
          <w:p w:rsidR="00D66F0A" w:rsidRPr="00D4748D" w:rsidRDefault="00D66F0A" w:rsidP="00D66F0A">
            <w:pPr>
              <w:jc w:val="center"/>
              <w:rPr>
                <w:rFonts w:eastAsia="Times New Roman" w:cs="Calibri"/>
                <w:b/>
                <w:bCs/>
                <w:color w:val="FFFFFF"/>
                <w:sz w:val="20"/>
                <w:szCs w:val="20"/>
                <w:lang w:eastAsia="it-IT"/>
              </w:rPr>
            </w:pPr>
            <w:r w:rsidRPr="00D4748D">
              <w:rPr>
                <w:rFonts w:eastAsia="Times New Roman" w:cs="Calibri"/>
                <w:b/>
                <w:bCs/>
                <w:color w:val="FFFFFF"/>
                <w:sz w:val="20"/>
                <w:szCs w:val="20"/>
                <w:lang w:eastAsia="it-IT"/>
              </w:rPr>
              <w:t>Total</w:t>
            </w:r>
          </w:p>
        </w:tc>
        <w:tc>
          <w:tcPr>
            <w:tcW w:w="528" w:type="pct"/>
            <w:tcBorders>
              <w:top w:val="nil"/>
              <w:left w:val="nil"/>
              <w:bottom w:val="nil"/>
              <w:right w:val="nil"/>
            </w:tcBorders>
            <w:shd w:val="clear" w:color="000000" w:fill="1F497D"/>
            <w:vAlign w:val="center"/>
            <w:hideMark/>
          </w:tcPr>
          <w:p w:rsidR="00D66F0A" w:rsidRPr="00D4748D" w:rsidRDefault="00D66F0A" w:rsidP="00D66F0A">
            <w:pPr>
              <w:jc w:val="center"/>
              <w:rPr>
                <w:rFonts w:eastAsia="Times New Roman" w:cs="Calibri"/>
                <w:b/>
                <w:bCs/>
                <w:color w:val="FFFFFF"/>
                <w:sz w:val="20"/>
                <w:szCs w:val="20"/>
                <w:lang w:eastAsia="it-IT"/>
              </w:rPr>
            </w:pPr>
            <w:r w:rsidRPr="00D4748D">
              <w:rPr>
                <w:rFonts w:eastAsia="Times New Roman" w:cs="Calibri"/>
                <w:b/>
                <w:bCs/>
                <w:color w:val="FFFFFF"/>
                <w:sz w:val="20"/>
                <w:szCs w:val="20"/>
                <w:lang w:eastAsia="it-IT"/>
              </w:rPr>
              <w:t xml:space="preserve">of </w:t>
            </w:r>
            <w:proofErr w:type="spellStart"/>
            <w:r w:rsidRPr="00D4748D">
              <w:rPr>
                <w:rFonts w:eastAsia="Times New Roman" w:cs="Calibri"/>
                <w:b/>
                <w:bCs/>
                <w:color w:val="FFFFFF"/>
                <w:sz w:val="20"/>
                <w:szCs w:val="20"/>
                <w:lang w:eastAsia="it-IT"/>
              </w:rPr>
              <w:t>which</w:t>
            </w:r>
            <w:proofErr w:type="spellEnd"/>
            <w:r w:rsidRPr="00D4748D">
              <w:rPr>
                <w:rFonts w:eastAsia="Times New Roman" w:cs="Calibri"/>
                <w:b/>
                <w:bCs/>
                <w:color w:val="FFFFFF"/>
                <w:sz w:val="20"/>
                <w:szCs w:val="20"/>
                <w:lang w:eastAsia="it-IT"/>
              </w:rPr>
              <w:t xml:space="preserve"> </w:t>
            </w:r>
            <w:proofErr w:type="spellStart"/>
            <w:r w:rsidRPr="00D4748D">
              <w:rPr>
                <w:rFonts w:eastAsia="Times New Roman" w:cs="Calibri"/>
                <w:b/>
                <w:bCs/>
                <w:color w:val="FFFFFF"/>
                <w:sz w:val="20"/>
                <w:szCs w:val="20"/>
                <w:lang w:eastAsia="it-IT"/>
              </w:rPr>
              <w:t>holidays</w:t>
            </w:r>
            <w:proofErr w:type="spellEnd"/>
          </w:p>
        </w:tc>
        <w:tc>
          <w:tcPr>
            <w:tcW w:w="758" w:type="pct"/>
            <w:vMerge/>
            <w:tcBorders>
              <w:top w:val="nil"/>
              <w:left w:val="nil"/>
              <w:bottom w:val="nil"/>
              <w:right w:val="nil"/>
            </w:tcBorders>
            <w:vAlign w:val="center"/>
            <w:hideMark/>
          </w:tcPr>
          <w:p w:rsidR="00D66F0A" w:rsidRPr="00D4748D" w:rsidRDefault="00D66F0A" w:rsidP="00D66F0A">
            <w:pPr>
              <w:jc w:val="left"/>
              <w:rPr>
                <w:rFonts w:eastAsia="Times New Roman" w:cs="Calibri"/>
                <w:color w:val="FFFFFF"/>
                <w:sz w:val="20"/>
                <w:szCs w:val="20"/>
                <w:lang w:eastAsia="it-IT"/>
              </w:rPr>
            </w:pPr>
          </w:p>
        </w:tc>
      </w:tr>
      <w:tr w:rsidR="00D66F0A" w:rsidRPr="00D4748D" w:rsidTr="00D4748D">
        <w:trPr>
          <w:trHeight w:val="300"/>
        </w:trPr>
        <w:tc>
          <w:tcPr>
            <w:tcW w:w="1076" w:type="pct"/>
            <w:tcBorders>
              <w:top w:val="nil"/>
              <w:left w:val="nil"/>
              <w:bottom w:val="nil"/>
              <w:right w:val="nil"/>
            </w:tcBorders>
            <w:shd w:val="clear" w:color="auto" w:fill="auto"/>
            <w:vAlign w:val="center"/>
            <w:hideMark/>
          </w:tcPr>
          <w:p w:rsidR="00D66F0A" w:rsidRPr="00D4748D" w:rsidRDefault="00D66F0A" w:rsidP="00D66F0A">
            <w:pPr>
              <w:jc w:val="left"/>
              <w:rPr>
                <w:rFonts w:eastAsia="Times New Roman" w:cs="Calibri"/>
                <w:color w:val="000000"/>
                <w:sz w:val="20"/>
                <w:szCs w:val="20"/>
                <w:lang w:eastAsia="it-IT"/>
              </w:rPr>
            </w:pPr>
            <w:r w:rsidRPr="00D4748D">
              <w:rPr>
                <w:rFonts w:eastAsia="Times New Roman" w:cs="Calibri"/>
                <w:color w:val="000000"/>
                <w:sz w:val="20"/>
                <w:szCs w:val="20"/>
                <w:lang w:eastAsia="it-IT"/>
              </w:rPr>
              <w:t>Abruzzo</w:t>
            </w:r>
          </w:p>
        </w:tc>
        <w:tc>
          <w:tcPr>
            <w:tcW w:w="527"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207</w:t>
            </w:r>
          </w:p>
        </w:tc>
        <w:tc>
          <w:tcPr>
            <w:tcW w:w="528"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92</w:t>
            </w:r>
          </w:p>
        </w:tc>
        <w:tc>
          <w:tcPr>
            <w:tcW w:w="527"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154</w:t>
            </w:r>
          </w:p>
        </w:tc>
        <w:tc>
          <w:tcPr>
            <w:tcW w:w="528"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66</w:t>
            </w:r>
          </w:p>
        </w:tc>
        <w:tc>
          <w:tcPr>
            <w:tcW w:w="527"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126</w:t>
            </w:r>
          </w:p>
        </w:tc>
        <w:tc>
          <w:tcPr>
            <w:tcW w:w="528"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70</w:t>
            </w:r>
          </w:p>
        </w:tc>
        <w:tc>
          <w:tcPr>
            <w:tcW w:w="758" w:type="pct"/>
            <w:tcBorders>
              <w:top w:val="nil"/>
              <w:left w:val="nil"/>
              <w:bottom w:val="nil"/>
              <w:right w:val="nil"/>
            </w:tcBorders>
            <w:shd w:val="clear" w:color="auto" w:fill="auto"/>
            <w:noWrap/>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-18.2</w:t>
            </w:r>
          </w:p>
        </w:tc>
      </w:tr>
      <w:tr w:rsidR="00D66F0A" w:rsidRPr="00D4748D" w:rsidTr="00D4748D">
        <w:trPr>
          <w:trHeight w:val="300"/>
        </w:trPr>
        <w:tc>
          <w:tcPr>
            <w:tcW w:w="1076" w:type="pct"/>
            <w:tcBorders>
              <w:top w:val="nil"/>
              <w:left w:val="nil"/>
              <w:bottom w:val="nil"/>
              <w:right w:val="nil"/>
            </w:tcBorders>
            <w:shd w:val="clear" w:color="auto" w:fill="auto"/>
            <w:vAlign w:val="center"/>
            <w:hideMark/>
          </w:tcPr>
          <w:p w:rsidR="00D66F0A" w:rsidRPr="00D4748D" w:rsidRDefault="00D66F0A" w:rsidP="00D66F0A">
            <w:pPr>
              <w:jc w:val="left"/>
              <w:rPr>
                <w:rFonts w:eastAsia="Times New Roman" w:cs="Calibri"/>
                <w:color w:val="000000"/>
                <w:sz w:val="20"/>
                <w:szCs w:val="20"/>
                <w:lang w:eastAsia="it-IT"/>
              </w:rPr>
            </w:pPr>
            <w:r w:rsidRPr="00D4748D">
              <w:rPr>
                <w:rFonts w:eastAsia="Times New Roman" w:cs="Calibri"/>
                <w:color w:val="000000"/>
                <w:sz w:val="20"/>
                <w:szCs w:val="20"/>
                <w:lang w:eastAsia="it-IT"/>
              </w:rPr>
              <w:t>Molise</w:t>
            </w:r>
          </w:p>
        </w:tc>
        <w:tc>
          <w:tcPr>
            <w:tcW w:w="527"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16</w:t>
            </w:r>
          </w:p>
        </w:tc>
        <w:tc>
          <w:tcPr>
            <w:tcW w:w="528"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4</w:t>
            </w:r>
          </w:p>
        </w:tc>
        <w:tc>
          <w:tcPr>
            <w:tcW w:w="527"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8</w:t>
            </w:r>
          </w:p>
        </w:tc>
        <w:tc>
          <w:tcPr>
            <w:tcW w:w="528"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2</w:t>
            </w:r>
          </w:p>
        </w:tc>
        <w:tc>
          <w:tcPr>
            <w:tcW w:w="527"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11</w:t>
            </w:r>
          </w:p>
        </w:tc>
        <w:tc>
          <w:tcPr>
            <w:tcW w:w="528"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6</w:t>
            </w:r>
          </w:p>
        </w:tc>
        <w:tc>
          <w:tcPr>
            <w:tcW w:w="758" w:type="pct"/>
            <w:tcBorders>
              <w:top w:val="nil"/>
              <w:left w:val="nil"/>
              <w:bottom w:val="nil"/>
              <w:right w:val="nil"/>
            </w:tcBorders>
            <w:shd w:val="clear" w:color="auto" w:fill="auto"/>
            <w:noWrap/>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37.5</w:t>
            </w:r>
          </w:p>
        </w:tc>
      </w:tr>
      <w:tr w:rsidR="00D66F0A" w:rsidRPr="00D4748D" w:rsidTr="00D4748D">
        <w:trPr>
          <w:trHeight w:val="300"/>
        </w:trPr>
        <w:tc>
          <w:tcPr>
            <w:tcW w:w="1076" w:type="pct"/>
            <w:tcBorders>
              <w:top w:val="nil"/>
              <w:left w:val="nil"/>
              <w:bottom w:val="nil"/>
              <w:right w:val="nil"/>
            </w:tcBorders>
            <w:shd w:val="clear" w:color="auto" w:fill="auto"/>
            <w:vAlign w:val="center"/>
            <w:hideMark/>
          </w:tcPr>
          <w:p w:rsidR="00D66F0A" w:rsidRPr="00D4748D" w:rsidRDefault="00D66F0A" w:rsidP="00D66F0A">
            <w:pPr>
              <w:jc w:val="left"/>
              <w:rPr>
                <w:rFonts w:eastAsia="Times New Roman" w:cs="Calibri"/>
                <w:color w:val="000000"/>
                <w:sz w:val="20"/>
                <w:szCs w:val="20"/>
                <w:lang w:eastAsia="it-IT"/>
              </w:rPr>
            </w:pPr>
            <w:r w:rsidRPr="00D4748D">
              <w:rPr>
                <w:rFonts w:eastAsia="Times New Roman" w:cs="Calibri"/>
                <w:color w:val="000000"/>
                <w:sz w:val="20"/>
                <w:szCs w:val="20"/>
                <w:lang w:eastAsia="it-IT"/>
              </w:rPr>
              <w:t>Campania</w:t>
            </w:r>
          </w:p>
        </w:tc>
        <w:tc>
          <w:tcPr>
            <w:tcW w:w="527"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1,834</w:t>
            </w:r>
          </w:p>
        </w:tc>
        <w:tc>
          <w:tcPr>
            <w:tcW w:w="528"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1,447</w:t>
            </w:r>
          </w:p>
        </w:tc>
        <w:tc>
          <w:tcPr>
            <w:tcW w:w="527"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1,306</w:t>
            </w:r>
          </w:p>
        </w:tc>
        <w:tc>
          <w:tcPr>
            <w:tcW w:w="528"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1,031</w:t>
            </w:r>
          </w:p>
        </w:tc>
        <w:tc>
          <w:tcPr>
            <w:tcW w:w="527"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1,543</w:t>
            </w:r>
          </w:p>
        </w:tc>
        <w:tc>
          <w:tcPr>
            <w:tcW w:w="528"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1,325</w:t>
            </w:r>
          </w:p>
        </w:tc>
        <w:tc>
          <w:tcPr>
            <w:tcW w:w="758" w:type="pct"/>
            <w:tcBorders>
              <w:top w:val="nil"/>
              <w:left w:val="nil"/>
              <w:bottom w:val="nil"/>
              <w:right w:val="nil"/>
            </w:tcBorders>
            <w:shd w:val="clear" w:color="auto" w:fill="auto"/>
            <w:noWrap/>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18.1</w:t>
            </w:r>
          </w:p>
        </w:tc>
      </w:tr>
      <w:tr w:rsidR="00D66F0A" w:rsidRPr="00D4748D" w:rsidTr="00D4748D">
        <w:trPr>
          <w:trHeight w:val="300"/>
        </w:trPr>
        <w:tc>
          <w:tcPr>
            <w:tcW w:w="1076" w:type="pct"/>
            <w:tcBorders>
              <w:top w:val="nil"/>
              <w:left w:val="nil"/>
              <w:bottom w:val="nil"/>
              <w:right w:val="nil"/>
            </w:tcBorders>
            <w:shd w:val="clear" w:color="auto" w:fill="auto"/>
            <w:noWrap/>
            <w:vAlign w:val="center"/>
            <w:hideMark/>
          </w:tcPr>
          <w:p w:rsidR="00D66F0A" w:rsidRPr="00D4748D" w:rsidRDefault="00D66F0A" w:rsidP="00D66F0A">
            <w:pPr>
              <w:jc w:val="left"/>
              <w:rPr>
                <w:rFonts w:eastAsia="Times New Roman" w:cs="Calibri"/>
                <w:color w:val="000000"/>
                <w:sz w:val="20"/>
                <w:szCs w:val="20"/>
                <w:lang w:eastAsia="it-IT"/>
              </w:rPr>
            </w:pPr>
            <w:r w:rsidRPr="00D4748D">
              <w:rPr>
                <w:rFonts w:eastAsia="Times New Roman" w:cs="Calibri"/>
                <w:color w:val="000000"/>
                <w:sz w:val="20"/>
                <w:szCs w:val="20"/>
                <w:lang w:eastAsia="it-IT"/>
              </w:rPr>
              <w:t>Puglia</w:t>
            </w:r>
          </w:p>
        </w:tc>
        <w:tc>
          <w:tcPr>
            <w:tcW w:w="527"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557</w:t>
            </w:r>
          </w:p>
        </w:tc>
        <w:tc>
          <w:tcPr>
            <w:tcW w:w="528"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370</w:t>
            </w:r>
          </w:p>
        </w:tc>
        <w:tc>
          <w:tcPr>
            <w:tcW w:w="527"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396</w:t>
            </w:r>
          </w:p>
        </w:tc>
        <w:tc>
          <w:tcPr>
            <w:tcW w:w="528"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266</w:t>
            </w:r>
          </w:p>
        </w:tc>
        <w:tc>
          <w:tcPr>
            <w:tcW w:w="527"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419</w:t>
            </w:r>
          </w:p>
        </w:tc>
        <w:tc>
          <w:tcPr>
            <w:tcW w:w="528"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272</w:t>
            </w:r>
          </w:p>
        </w:tc>
        <w:tc>
          <w:tcPr>
            <w:tcW w:w="758" w:type="pct"/>
            <w:tcBorders>
              <w:top w:val="nil"/>
              <w:left w:val="nil"/>
              <w:bottom w:val="nil"/>
              <w:right w:val="nil"/>
            </w:tcBorders>
            <w:shd w:val="clear" w:color="auto" w:fill="auto"/>
            <w:noWrap/>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5.8</w:t>
            </w:r>
          </w:p>
        </w:tc>
      </w:tr>
      <w:tr w:rsidR="00D66F0A" w:rsidRPr="00D4748D" w:rsidTr="00D4748D">
        <w:trPr>
          <w:trHeight w:val="300"/>
        </w:trPr>
        <w:tc>
          <w:tcPr>
            <w:tcW w:w="1076" w:type="pct"/>
            <w:tcBorders>
              <w:top w:val="nil"/>
              <w:left w:val="nil"/>
              <w:bottom w:val="nil"/>
              <w:right w:val="nil"/>
            </w:tcBorders>
            <w:shd w:val="clear" w:color="auto" w:fill="auto"/>
            <w:noWrap/>
            <w:vAlign w:val="center"/>
            <w:hideMark/>
          </w:tcPr>
          <w:p w:rsidR="00D66F0A" w:rsidRPr="00D4748D" w:rsidRDefault="00D66F0A" w:rsidP="00D66F0A">
            <w:pPr>
              <w:jc w:val="left"/>
              <w:rPr>
                <w:rFonts w:eastAsia="Times New Roman" w:cs="Calibri"/>
                <w:color w:val="000000"/>
                <w:sz w:val="20"/>
                <w:szCs w:val="20"/>
                <w:lang w:eastAsia="it-IT"/>
              </w:rPr>
            </w:pPr>
            <w:r w:rsidRPr="00D4748D">
              <w:rPr>
                <w:rFonts w:eastAsia="Times New Roman" w:cs="Calibri"/>
                <w:color w:val="000000"/>
                <w:sz w:val="20"/>
                <w:szCs w:val="20"/>
                <w:lang w:eastAsia="it-IT"/>
              </w:rPr>
              <w:t>Basilicata</w:t>
            </w:r>
          </w:p>
        </w:tc>
        <w:tc>
          <w:tcPr>
            <w:tcW w:w="527"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41</w:t>
            </w:r>
          </w:p>
        </w:tc>
        <w:tc>
          <w:tcPr>
            <w:tcW w:w="528"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26</w:t>
            </w:r>
          </w:p>
        </w:tc>
        <w:tc>
          <w:tcPr>
            <w:tcW w:w="527"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26</w:t>
            </w:r>
          </w:p>
        </w:tc>
        <w:tc>
          <w:tcPr>
            <w:tcW w:w="528"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15</w:t>
            </w:r>
          </w:p>
        </w:tc>
        <w:tc>
          <w:tcPr>
            <w:tcW w:w="527"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22</w:t>
            </w:r>
          </w:p>
        </w:tc>
        <w:tc>
          <w:tcPr>
            <w:tcW w:w="528"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10</w:t>
            </w:r>
          </w:p>
        </w:tc>
        <w:tc>
          <w:tcPr>
            <w:tcW w:w="758" w:type="pct"/>
            <w:tcBorders>
              <w:top w:val="nil"/>
              <w:left w:val="nil"/>
              <w:bottom w:val="nil"/>
              <w:right w:val="nil"/>
            </w:tcBorders>
            <w:shd w:val="clear" w:color="auto" w:fill="auto"/>
            <w:noWrap/>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-15.4</w:t>
            </w:r>
          </w:p>
        </w:tc>
      </w:tr>
      <w:tr w:rsidR="00D66F0A" w:rsidRPr="00D4748D" w:rsidTr="00D4748D">
        <w:trPr>
          <w:trHeight w:val="300"/>
        </w:trPr>
        <w:tc>
          <w:tcPr>
            <w:tcW w:w="1076" w:type="pct"/>
            <w:tcBorders>
              <w:top w:val="nil"/>
              <w:left w:val="nil"/>
              <w:bottom w:val="nil"/>
              <w:right w:val="nil"/>
            </w:tcBorders>
            <w:shd w:val="clear" w:color="auto" w:fill="auto"/>
            <w:noWrap/>
            <w:vAlign w:val="center"/>
            <w:hideMark/>
          </w:tcPr>
          <w:p w:rsidR="00D66F0A" w:rsidRPr="00D4748D" w:rsidRDefault="00D66F0A" w:rsidP="00D66F0A">
            <w:pPr>
              <w:jc w:val="left"/>
              <w:rPr>
                <w:rFonts w:eastAsia="Times New Roman" w:cs="Calibri"/>
                <w:color w:val="000000"/>
                <w:sz w:val="20"/>
                <w:szCs w:val="20"/>
                <w:lang w:eastAsia="it-IT"/>
              </w:rPr>
            </w:pPr>
            <w:r w:rsidRPr="00D4748D">
              <w:rPr>
                <w:rFonts w:eastAsia="Times New Roman" w:cs="Calibri"/>
                <w:color w:val="000000"/>
                <w:sz w:val="20"/>
                <w:szCs w:val="20"/>
                <w:lang w:eastAsia="it-IT"/>
              </w:rPr>
              <w:t>Calabria</w:t>
            </w:r>
          </w:p>
        </w:tc>
        <w:tc>
          <w:tcPr>
            <w:tcW w:w="527"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177</w:t>
            </w:r>
          </w:p>
        </w:tc>
        <w:tc>
          <w:tcPr>
            <w:tcW w:w="528"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87</w:t>
            </w:r>
          </w:p>
        </w:tc>
        <w:tc>
          <w:tcPr>
            <w:tcW w:w="527"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139</w:t>
            </w:r>
          </w:p>
        </w:tc>
        <w:tc>
          <w:tcPr>
            <w:tcW w:w="528"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73</w:t>
            </w:r>
          </w:p>
        </w:tc>
        <w:tc>
          <w:tcPr>
            <w:tcW w:w="527"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140</w:t>
            </w:r>
          </w:p>
        </w:tc>
        <w:tc>
          <w:tcPr>
            <w:tcW w:w="528"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64</w:t>
            </w:r>
          </w:p>
        </w:tc>
        <w:tc>
          <w:tcPr>
            <w:tcW w:w="758" w:type="pct"/>
            <w:tcBorders>
              <w:top w:val="nil"/>
              <w:left w:val="nil"/>
              <w:bottom w:val="nil"/>
              <w:right w:val="nil"/>
            </w:tcBorders>
            <w:shd w:val="clear" w:color="auto" w:fill="auto"/>
            <w:noWrap/>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0.7</w:t>
            </w:r>
          </w:p>
        </w:tc>
      </w:tr>
      <w:tr w:rsidR="00D66F0A" w:rsidRPr="00D4748D" w:rsidTr="00D4748D">
        <w:trPr>
          <w:trHeight w:val="300"/>
        </w:trPr>
        <w:tc>
          <w:tcPr>
            <w:tcW w:w="1076" w:type="pct"/>
            <w:tcBorders>
              <w:top w:val="nil"/>
              <w:left w:val="nil"/>
              <w:bottom w:val="nil"/>
              <w:right w:val="nil"/>
            </w:tcBorders>
            <w:shd w:val="clear" w:color="auto" w:fill="auto"/>
            <w:noWrap/>
            <w:vAlign w:val="center"/>
            <w:hideMark/>
          </w:tcPr>
          <w:p w:rsidR="00D66F0A" w:rsidRPr="00D4748D" w:rsidRDefault="00D66F0A" w:rsidP="00D66F0A">
            <w:pPr>
              <w:jc w:val="left"/>
              <w:rPr>
                <w:rFonts w:eastAsia="Times New Roman" w:cs="Calibri"/>
                <w:color w:val="000000"/>
                <w:sz w:val="20"/>
                <w:szCs w:val="20"/>
                <w:lang w:eastAsia="it-IT"/>
              </w:rPr>
            </w:pPr>
            <w:r w:rsidRPr="00D4748D">
              <w:rPr>
                <w:rFonts w:eastAsia="Times New Roman" w:cs="Calibri"/>
                <w:color w:val="000000"/>
                <w:sz w:val="20"/>
                <w:szCs w:val="20"/>
                <w:lang w:eastAsia="it-IT"/>
              </w:rPr>
              <w:t>Sicilia</w:t>
            </w:r>
          </w:p>
        </w:tc>
        <w:tc>
          <w:tcPr>
            <w:tcW w:w="527"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1,398</w:t>
            </w:r>
          </w:p>
        </w:tc>
        <w:tc>
          <w:tcPr>
            <w:tcW w:w="528"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1,134</w:t>
            </w:r>
          </w:p>
        </w:tc>
        <w:tc>
          <w:tcPr>
            <w:tcW w:w="527"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1,026</w:t>
            </w:r>
          </w:p>
        </w:tc>
        <w:tc>
          <w:tcPr>
            <w:tcW w:w="528"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852</w:t>
            </w:r>
          </w:p>
        </w:tc>
        <w:tc>
          <w:tcPr>
            <w:tcW w:w="527"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1,341</w:t>
            </w:r>
          </w:p>
        </w:tc>
        <w:tc>
          <w:tcPr>
            <w:tcW w:w="528"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1,094</w:t>
            </w:r>
          </w:p>
        </w:tc>
        <w:tc>
          <w:tcPr>
            <w:tcW w:w="758" w:type="pct"/>
            <w:tcBorders>
              <w:top w:val="nil"/>
              <w:left w:val="nil"/>
              <w:bottom w:val="nil"/>
              <w:right w:val="nil"/>
            </w:tcBorders>
            <w:shd w:val="clear" w:color="auto" w:fill="auto"/>
            <w:noWrap/>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30.7</w:t>
            </w:r>
          </w:p>
        </w:tc>
      </w:tr>
      <w:tr w:rsidR="00D66F0A" w:rsidRPr="00D4748D" w:rsidTr="00D4748D">
        <w:trPr>
          <w:trHeight w:val="315"/>
        </w:trPr>
        <w:tc>
          <w:tcPr>
            <w:tcW w:w="1076" w:type="pct"/>
            <w:tcBorders>
              <w:top w:val="nil"/>
              <w:left w:val="nil"/>
              <w:bottom w:val="dashed" w:sz="8" w:space="0" w:color="1F497D"/>
              <w:right w:val="nil"/>
            </w:tcBorders>
            <w:shd w:val="clear" w:color="auto" w:fill="auto"/>
            <w:noWrap/>
            <w:vAlign w:val="center"/>
            <w:hideMark/>
          </w:tcPr>
          <w:p w:rsidR="00D66F0A" w:rsidRPr="00D4748D" w:rsidRDefault="00D66F0A" w:rsidP="00D66F0A">
            <w:pPr>
              <w:jc w:val="left"/>
              <w:rPr>
                <w:rFonts w:eastAsia="Times New Roman" w:cs="Calibri"/>
                <w:color w:val="000000"/>
                <w:sz w:val="20"/>
                <w:szCs w:val="20"/>
                <w:lang w:eastAsia="it-IT"/>
              </w:rPr>
            </w:pPr>
            <w:r w:rsidRPr="00D4748D">
              <w:rPr>
                <w:rFonts w:eastAsia="Times New Roman" w:cs="Calibri"/>
                <w:color w:val="000000"/>
                <w:sz w:val="20"/>
                <w:szCs w:val="20"/>
                <w:lang w:eastAsia="it-IT"/>
              </w:rPr>
              <w:t>Sardegna</w:t>
            </w:r>
          </w:p>
        </w:tc>
        <w:tc>
          <w:tcPr>
            <w:tcW w:w="527"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621</w:t>
            </w:r>
          </w:p>
        </w:tc>
        <w:tc>
          <w:tcPr>
            <w:tcW w:w="528" w:type="pct"/>
            <w:tcBorders>
              <w:top w:val="nil"/>
              <w:left w:val="nil"/>
              <w:bottom w:val="dashed" w:sz="8" w:space="0" w:color="1F497D"/>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487</w:t>
            </w:r>
          </w:p>
        </w:tc>
        <w:tc>
          <w:tcPr>
            <w:tcW w:w="527" w:type="pct"/>
            <w:tcBorders>
              <w:top w:val="nil"/>
              <w:left w:val="nil"/>
              <w:bottom w:val="dashed" w:sz="8" w:space="0" w:color="1F497D"/>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496</w:t>
            </w:r>
          </w:p>
        </w:tc>
        <w:tc>
          <w:tcPr>
            <w:tcW w:w="528" w:type="pct"/>
            <w:tcBorders>
              <w:top w:val="nil"/>
              <w:left w:val="nil"/>
              <w:bottom w:val="dashed" w:sz="8" w:space="0" w:color="1F497D"/>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394</w:t>
            </w:r>
          </w:p>
        </w:tc>
        <w:tc>
          <w:tcPr>
            <w:tcW w:w="527" w:type="pct"/>
            <w:tcBorders>
              <w:top w:val="nil"/>
              <w:left w:val="nil"/>
              <w:bottom w:val="dashed" w:sz="8" w:space="0" w:color="1F497D"/>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804</w:t>
            </w:r>
          </w:p>
        </w:tc>
        <w:tc>
          <w:tcPr>
            <w:tcW w:w="528" w:type="pct"/>
            <w:tcBorders>
              <w:top w:val="nil"/>
              <w:left w:val="nil"/>
              <w:bottom w:val="dashed" w:sz="8" w:space="0" w:color="1F497D"/>
              <w:right w:val="nil"/>
            </w:tcBorders>
            <w:shd w:val="clear" w:color="auto" w:fill="auto"/>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613</w:t>
            </w:r>
          </w:p>
        </w:tc>
        <w:tc>
          <w:tcPr>
            <w:tcW w:w="758" w:type="pct"/>
            <w:tcBorders>
              <w:top w:val="nil"/>
              <w:left w:val="nil"/>
              <w:bottom w:val="dashed" w:sz="8" w:space="0" w:color="1F497D"/>
              <w:right w:val="nil"/>
            </w:tcBorders>
            <w:shd w:val="clear" w:color="auto" w:fill="auto"/>
            <w:noWrap/>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62.1</w:t>
            </w:r>
          </w:p>
        </w:tc>
      </w:tr>
      <w:tr w:rsidR="00D66F0A" w:rsidRPr="00D4748D" w:rsidTr="00D4748D">
        <w:trPr>
          <w:trHeight w:val="315"/>
        </w:trPr>
        <w:tc>
          <w:tcPr>
            <w:tcW w:w="1076" w:type="pct"/>
            <w:tcBorders>
              <w:top w:val="nil"/>
              <w:left w:val="dashed" w:sz="8" w:space="0" w:color="1F497D"/>
              <w:bottom w:val="dashed" w:sz="8" w:space="0" w:color="1F497D"/>
              <w:right w:val="nil"/>
            </w:tcBorders>
            <w:shd w:val="clear" w:color="auto" w:fill="auto"/>
            <w:noWrap/>
            <w:vAlign w:val="center"/>
            <w:hideMark/>
          </w:tcPr>
          <w:p w:rsidR="00D66F0A" w:rsidRPr="00D4748D" w:rsidRDefault="00D66F0A" w:rsidP="00D66F0A">
            <w:pPr>
              <w:jc w:val="left"/>
              <w:rPr>
                <w:rFonts w:eastAsia="Times New Roman" w:cs="Calibri"/>
                <w:b/>
                <w:bCs/>
                <w:color w:val="1F497D"/>
                <w:sz w:val="20"/>
                <w:szCs w:val="20"/>
                <w:lang w:eastAsia="it-IT"/>
              </w:rPr>
            </w:pPr>
            <w:proofErr w:type="spellStart"/>
            <w:r w:rsidRPr="00D4748D">
              <w:rPr>
                <w:rFonts w:eastAsia="Times New Roman" w:cs="Calibri"/>
                <w:b/>
                <w:bCs/>
                <w:color w:val="1F497D"/>
                <w:sz w:val="20"/>
                <w:szCs w:val="20"/>
                <w:lang w:eastAsia="it-IT"/>
              </w:rPr>
              <w:t>Souther</w:t>
            </w:r>
            <w:proofErr w:type="spellEnd"/>
            <w:r w:rsidRPr="00D4748D">
              <w:rPr>
                <w:rFonts w:eastAsia="Times New Roman" w:cs="Calibri"/>
                <w:b/>
                <w:bCs/>
                <w:color w:val="1F497D"/>
                <w:sz w:val="20"/>
                <w:szCs w:val="20"/>
                <w:lang w:eastAsia="it-IT"/>
              </w:rPr>
              <w:t xml:space="preserve"> Italy</w:t>
            </w:r>
          </w:p>
        </w:tc>
        <w:tc>
          <w:tcPr>
            <w:tcW w:w="527" w:type="pct"/>
            <w:tcBorders>
              <w:top w:val="dashed" w:sz="8" w:space="0" w:color="1F497D"/>
              <w:left w:val="nil"/>
              <w:bottom w:val="nil"/>
              <w:right w:val="nil"/>
            </w:tcBorders>
            <w:shd w:val="clear" w:color="auto" w:fill="auto"/>
            <w:vAlign w:val="center"/>
            <w:hideMark/>
          </w:tcPr>
          <w:p w:rsidR="00D66F0A" w:rsidRPr="00D4748D" w:rsidRDefault="00D66F0A" w:rsidP="00D66F0A">
            <w:pPr>
              <w:jc w:val="right"/>
              <w:rPr>
                <w:rFonts w:eastAsia="Times New Roman" w:cs="Calibri"/>
                <w:b/>
                <w:bCs/>
                <w:color w:val="1F497D"/>
                <w:sz w:val="20"/>
                <w:szCs w:val="20"/>
                <w:lang w:eastAsia="it-IT"/>
              </w:rPr>
            </w:pPr>
            <w:r w:rsidRPr="00D4748D">
              <w:rPr>
                <w:rFonts w:eastAsia="Times New Roman" w:cs="Calibri"/>
                <w:b/>
                <w:bCs/>
                <w:color w:val="1F497D"/>
                <w:sz w:val="20"/>
                <w:szCs w:val="20"/>
                <w:lang w:eastAsia="it-IT"/>
              </w:rPr>
              <w:t>4,850</w:t>
            </w:r>
          </w:p>
        </w:tc>
        <w:tc>
          <w:tcPr>
            <w:tcW w:w="528" w:type="pct"/>
            <w:tcBorders>
              <w:top w:val="nil"/>
              <w:left w:val="nil"/>
              <w:bottom w:val="dashed" w:sz="8" w:space="0" w:color="1F497D"/>
              <w:right w:val="nil"/>
            </w:tcBorders>
            <w:shd w:val="clear" w:color="auto" w:fill="auto"/>
            <w:vAlign w:val="center"/>
            <w:hideMark/>
          </w:tcPr>
          <w:p w:rsidR="00D66F0A" w:rsidRPr="00D4748D" w:rsidRDefault="00D66F0A" w:rsidP="00D66F0A">
            <w:pPr>
              <w:jc w:val="right"/>
              <w:rPr>
                <w:rFonts w:eastAsia="Times New Roman" w:cs="Calibri"/>
                <w:b/>
                <w:bCs/>
                <w:color w:val="1F497D"/>
                <w:sz w:val="20"/>
                <w:szCs w:val="20"/>
                <w:lang w:eastAsia="it-IT"/>
              </w:rPr>
            </w:pPr>
            <w:r w:rsidRPr="00D4748D">
              <w:rPr>
                <w:rFonts w:eastAsia="Times New Roman" w:cs="Calibri"/>
                <w:b/>
                <w:bCs/>
                <w:color w:val="1F497D"/>
                <w:sz w:val="20"/>
                <w:szCs w:val="20"/>
                <w:lang w:eastAsia="it-IT"/>
              </w:rPr>
              <w:t>3,647</w:t>
            </w:r>
          </w:p>
        </w:tc>
        <w:tc>
          <w:tcPr>
            <w:tcW w:w="527" w:type="pct"/>
            <w:tcBorders>
              <w:top w:val="nil"/>
              <w:left w:val="nil"/>
              <w:bottom w:val="nil"/>
              <w:right w:val="nil"/>
            </w:tcBorders>
            <w:shd w:val="clear" w:color="auto" w:fill="auto"/>
            <w:vAlign w:val="center"/>
            <w:hideMark/>
          </w:tcPr>
          <w:p w:rsidR="00D66F0A" w:rsidRPr="00D4748D" w:rsidRDefault="00D66F0A" w:rsidP="00D66F0A">
            <w:pPr>
              <w:jc w:val="right"/>
              <w:rPr>
                <w:rFonts w:eastAsia="Times New Roman" w:cs="Calibri"/>
                <w:b/>
                <w:bCs/>
                <w:color w:val="1F497D"/>
                <w:sz w:val="20"/>
                <w:szCs w:val="20"/>
                <w:lang w:eastAsia="it-IT"/>
              </w:rPr>
            </w:pPr>
            <w:r w:rsidRPr="00D4748D">
              <w:rPr>
                <w:rFonts w:eastAsia="Times New Roman" w:cs="Calibri"/>
                <w:b/>
                <w:bCs/>
                <w:color w:val="1F497D"/>
                <w:sz w:val="20"/>
                <w:szCs w:val="20"/>
                <w:lang w:eastAsia="it-IT"/>
              </w:rPr>
              <w:t>3,551</w:t>
            </w:r>
          </w:p>
        </w:tc>
        <w:tc>
          <w:tcPr>
            <w:tcW w:w="528" w:type="pct"/>
            <w:tcBorders>
              <w:top w:val="nil"/>
              <w:left w:val="nil"/>
              <w:bottom w:val="dashed" w:sz="8" w:space="0" w:color="1F497D"/>
              <w:right w:val="nil"/>
            </w:tcBorders>
            <w:shd w:val="clear" w:color="auto" w:fill="auto"/>
            <w:vAlign w:val="center"/>
            <w:hideMark/>
          </w:tcPr>
          <w:p w:rsidR="00D66F0A" w:rsidRPr="00D4748D" w:rsidRDefault="00D66F0A" w:rsidP="00D66F0A">
            <w:pPr>
              <w:jc w:val="right"/>
              <w:rPr>
                <w:rFonts w:eastAsia="Times New Roman" w:cs="Calibri"/>
                <w:b/>
                <w:bCs/>
                <w:color w:val="1F497D"/>
                <w:sz w:val="20"/>
                <w:szCs w:val="20"/>
                <w:lang w:eastAsia="it-IT"/>
              </w:rPr>
            </w:pPr>
            <w:r w:rsidRPr="00D4748D">
              <w:rPr>
                <w:rFonts w:eastAsia="Times New Roman" w:cs="Calibri"/>
                <w:b/>
                <w:bCs/>
                <w:color w:val="1F497D"/>
                <w:sz w:val="20"/>
                <w:szCs w:val="20"/>
                <w:lang w:eastAsia="it-IT"/>
              </w:rPr>
              <w:t>2,699</w:t>
            </w:r>
          </w:p>
        </w:tc>
        <w:tc>
          <w:tcPr>
            <w:tcW w:w="527" w:type="pct"/>
            <w:tcBorders>
              <w:top w:val="nil"/>
              <w:left w:val="nil"/>
              <w:bottom w:val="dashed" w:sz="8" w:space="0" w:color="1F497D"/>
              <w:right w:val="nil"/>
            </w:tcBorders>
            <w:shd w:val="clear" w:color="auto" w:fill="auto"/>
            <w:vAlign w:val="center"/>
            <w:hideMark/>
          </w:tcPr>
          <w:p w:rsidR="00D66F0A" w:rsidRPr="00D4748D" w:rsidRDefault="00D66F0A" w:rsidP="00D66F0A">
            <w:pPr>
              <w:jc w:val="right"/>
              <w:rPr>
                <w:rFonts w:eastAsia="Times New Roman" w:cs="Calibri"/>
                <w:b/>
                <w:bCs/>
                <w:color w:val="1F497D"/>
                <w:sz w:val="20"/>
                <w:szCs w:val="20"/>
                <w:lang w:eastAsia="it-IT"/>
              </w:rPr>
            </w:pPr>
            <w:r w:rsidRPr="00D4748D">
              <w:rPr>
                <w:rFonts w:eastAsia="Times New Roman" w:cs="Calibri"/>
                <w:b/>
                <w:bCs/>
                <w:color w:val="1F497D"/>
                <w:sz w:val="20"/>
                <w:szCs w:val="20"/>
                <w:lang w:eastAsia="it-IT"/>
              </w:rPr>
              <w:t>4,405</w:t>
            </w:r>
          </w:p>
        </w:tc>
        <w:tc>
          <w:tcPr>
            <w:tcW w:w="528" w:type="pct"/>
            <w:tcBorders>
              <w:top w:val="nil"/>
              <w:left w:val="nil"/>
              <w:bottom w:val="dashed" w:sz="8" w:space="0" w:color="1F497D"/>
              <w:right w:val="nil"/>
            </w:tcBorders>
            <w:shd w:val="clear" w:color="auto" w:fill="auto"/>
            <w:vAlign w:val="center"/>
            <w:hideMark/>
          </w:tcPr>
          <w:p w:rsidR="00D66F0A" w:rsidRPr="00D4748D" w:rsidRDefault="00D66F0A" w:rsidP="00D66F0A">
            <w:pPr>
              <w:jc w:val="right"/>
              <w:rPr>
                <w:rFonts w:eastAsia="Times New Roman" w:cs="Calibri"/>
                <w:b/>
                <w:bCs/>
                <w:color w:val="1F497D"/>
                <w:sz w:val="20"/>
                <w:szCs w:val="20"/>
                <w:lang w:eastAsia="it-IT"/>
              </w:rPr>
            </w:pPr>
            <w:r w:rsidRPr="00D4748D">
              <w:rPr>
                <w:rFonts w:eastAsia="Times New Roman" w:cs="Calibri"/>
                <w:b/>
                <w:bCs/>
                <w:color w:val="1F497D"/>
                <w:sz w:val="20"/>
                <w:szCs w:val="20"/>
                <w:lang w:eastAsia="it-IT"/>
              </w:rPr>
              <w:t>3,452</w:t>
            </w:r>
          </w:p>
        </w:tc>
        <w:tc>
          <w:tcPr>
            <w:tcW w:w="758" w:type="pct"/>
            <w:tcBorders>
              <w:top w:val="nil"/>
              <w:left w:val="nil"/>
              <w:bottom w:val="dashed" w:sz="8" w:space="0" w:color="1F497D"/>
              <w:right w:val="dashed" w:sz="8" w:space="0" w:color="1F497D"/>
            </w:tcBorders>
            <w:shd w:val="clear" w:color="auto" w:fill="auto"/>
            <w:noWrap/>
            <w:vAlign w:val="center"/>
            <w:hideMark/>
          </w:tcPr>
          <w:p w:rsidR="00D66F0A" w:rsidRPr="00D4748D" w:rsidRDefault="00D66F0A" w:rsidP="00D66F0A">
            <w:pPr>
              <w:jc w:val="right"/>
              <w:rPr>
                <w:rFonts w:eastAsia="Times New Roman" w:cs="Calibri"/>
                <w:b/>
                <w:bCs/>
                <w:color w:val="1F497D"/>
                <w:sz w:val="20"/>
                <w:szCs w:val="20"/>
                <w:lang w:eastAsia="it-IT"/>
              </w:rPr>
            </w:pPr>
            <w:r w:rsidRPr="00D4748D">
              <w:rPr>
                <w:rFonts w:eastAsia="Times New Roman" w:cs="Calibri"/>
                <w:b/>
                <w:bCs/>
                <w:color w:val="1F497D"/>
                <w:sz w:val="20"/>
                <w:szCs w:val="20"/>
                <w:lang w:eastAsia="it-IT"/>
              </w:rPr>
              <w:t>24</w:t>
            </w:r>
            <w:r w:rsidR="00C33F57">
              <w:rPr>
                <w:rFonts w:eastAsia="Times New Roman" w:cs="Calibri"/>
                <w:b/>
                <w:bCs/>
                <w:color w:val="1F497D"/>
                <w:sz w:val="20"/>
                <w:szCs w:val="20"/>
                <w:lang w:eastAsia="it-IT"/>
              </w:rPr>
              <w:t>.0</w:t>
            </w:r>
          </w:p>
        </w:tc>
      </w:tr>
      <w:tr w:rsidR="00D66F0A" w:rsidRPr="00D4748D" w:rsidTr="00D4748D">
        <w:trPr>
          <w:trHeight w:val="315"/>
        </w:trPr>
        <w:tc>
          <w:tcPr>
            <w:tcW w:w="1076" w:type="pct"/>
            <w:tcBorders>
              <w:top w:val="nil"/>
              <w:left w:val="nil"/>
              <w:bottom w:val="single" w:sz="8" w:space="0" w:color="auto"/>
              <w:right w:val="nil"/>
            </w:tcBorders>
            <w:shd w:val="clear" w:color="auto" w:fill="auto"/>
            <w:noWrap/>
            <w:vAlign w:val="center"/>
            <w:hideMark/>
          </w:tcPr>
          <w:p w:rsidR="00D66F0A" w:rsidRPr="00D4748D" w:rsidRDefault="00D66F0A" w:rsidP="00D66F0A">
            <w:pPr>
              <w:jc w:val="left"/>
              <w:rPr>
                <w:rFonts w:eastAsia="Times New Roman" w:cs="Calibri"/>
                <w:color w:val="000000"/>
                <w:sz w:val="20"/>
                <w:szCs w:val="20"/>
                <w:lang w:eastAsia="it-IT"/>
              </w:rPr>
            </w:pPr>
            <w:r w:rsidRPr="00D4748D">
              <w:rPr>
                <w:rFonts w:eastAsia="Times New Roman" w:cs="Calibri"/>
                <w:color w:val="000000"/>
                <w:sz w:val="20"/>
                <w:szCs w:val="20"/>
                <w:lang w:eastAsia="it-IT"/>
              </w:rPr>
              <w:t>Center-</w:t>
            </w:r>
            <w:proofErr w:type="spellStart"/>
            <w:r w:rsidRPr="00D4748D">
              <w:rPr>
                <w:rFonts w:eastAsia="Times New Roman" w:cs="Calibri"/>
                <w:color w:val="000000"/>
                <w:sz w:val="20"/>
                <w:szCs w:val="20"/>
                <w:lang w:eastAsia="it-IT"/>
              </w:rPr>
              <w:t>Northern</w:t>
            </w:r>
            <w:proofErr w:type="spellEnd"/>
            <w:r w:rsidRPr="00D4748D">
              <w:rPr>
                <w:rFonts w:eastAsia="Times New Roman" w:cs="Calibri"/>
                <w:color w:val="000000"/>
                <w:sz w:val="20"/>
                <w:szCs w:val="20"/>
                <w:lang w:eastAsia="it-IT"/>
              </w:rPr>
              <w:t xml:space="preserve"> Italy</w:t>
            </w:r>
          </w:p>
        </w:tc>
        <w:tc>
          <w:tcPr>
            <w:tcW w:w="527" w:type="pct"/>
            <w:tcBorders>
              <w:top w:val="dashed" w:sz="8" w:space="0" w:color="1F497D"/>
              <w:left w:val="nil"/>
              <w:bottom w:val="single" w:sz="8" w:space="0" w:color="auto"/>
              <w:right w:val="nil"/>
            </w:tcBorders>
            <w:shd w:val="clear" w:color="auto" w:fill="auto"/>
            <w:noWrap/>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30,831</w:t>
            </w:r>
          </w:p>
        </w:tc>
        <w:tc>
          <w:tcPr>
            <w:tcW w:w="528" w:type="pct"/>
            <w:tcBorders>
              <w:top w:val="nil"/>
              <w:left w:val="nil"/>
              <w:bottom w:val="single" w:sz="8" w:space="0" w:color="auto"/>
              <w:right w:val="nil"/>
            </w:tcBorders>
            <w:shd w:val="clear" w:color="auto" w:fill="auto"/>
            <w:noWrap/>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20,351</w:t>
            </w:r>
          </w:p>
        </w:tc>
        <w:tc>
          <w:tcPr>
            <w:tcW w:w="527" w:type="pct"/>
            <w:tcBorders>
              <w:top w:val="dashed" w:sz="8" w:space="0" w:color="1F497D"/>
              <w:left w:val="nil"/>
              <w:bottom w:val="single" w:sz="8" w:space="0" w:color="auto"/>
              <w:right w:val="nil"/>
            </w:tcBorders>
            <w:shd w:val="clear" w:color="auto" w:fill="auto"/>
            <w:noWrap/>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21,663</w:t>
            </w:r>
          </w:p>
        </w:tc>
        <w:tc>
          <w:tcPr>
            <w:tcW w:w="528" w:type="pct"/>
            <w:tcBorders>
              <w:top w:val="nil"/>
              <w:left w:val="nil"/>
              <w:bottom w:val="single" w:sz="8" w:space="0" w:color="auto"/>
              <w:right w:val="nil"/>
            </w:tcBorders>
            <w:shd w:val="clear" w:color="auto" w:fill="auto"/>
            <w:noWrap/>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14,800</w:t>
            </w:r>
          </w:p>
        </w:tc>
        <w:tc>
          <w:tcPr>
            <w:tcW w:w="527" w:type="pct"/>
            <w:tcBorders>
              <w:top w:val="nil"/>
              <w:left w:val="nil"/>
              <w:bottom w:val="single" w:sz="8" w:space="0" w:color="auto"/>
              <w:right w:val="nil"/>
            </w:tcBorders>
            <w:shd w:val="clear" w:color="auto" w:fill="auto"/>
            <w:noWrap/>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22,342</w:t>
            </w:r>
          </w:p>
        </w:tc>
        <w:tc>
          <w:tcPr>
            <w:tcW w:w="528" w:type="pct"/>
            <w:tcBorders>
              <w:top w:val="nil"/>
              <w:left w:val="nil"/>
              <w:bottom w:val="single" w:sz="8" w:space="0" w:color="auto"/>
              <w:right w:val="nil"/>
            </w:tcBorders>
            <w:shd w:val="clear" w:color="auto" w:fill="auto"/>
            <w:noWrap/>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14,939</w:t>
            </w:r>
          </w:p>
        </w:tc>
        <w:tc>
          <w:tcPr>
            <w:tcW w:w="758" w:type="pct"/>
            <w:tcBorders>
              <w:top w:val="nil"/>
              <w:left w:val="nil"/>
              <w:bottom w:val="single" w:sz="8" w:space="0" w:color="auto"/>
              <w:right w:val="nil"/>
            </w:tcBorders>
            <w:shd w:val="clear" w:color="auto" w:fill="auto"/>
            <w:noWrap/>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3.1</w:t>
            </w:r>
          </w:p>
        </w:tc>
      </w:tr>
      <w:tr w:rsidR="00D66F0A" w:rsidRPr="00D4748D" w:rsidTr="00D4748D">
        <w:trPr>
          <w:trHeight w:val="315"/>
        </w:trPr>
        <w:tc>
          <w:tcPr>
            <w:tcW w:w="1076" w:type="pct"/>
            <w:tcBorders>
              <w:top w:val="nil"/>
              <w:left w:val="nil"/>
              <w:bottom w:val="single" w:sz="8" w:space="0" w:color="auto"/>
              <w:right w:val="nil"/>
            </w:tcBorders>
            <w:shd w:val="clear" w:color="auto" w:fill="auto"/>
            <w:noWrap/>
            <w:vAlign w:val="center"/>
            <w:hideMark/>
          </w:tcPr>
          <w:p w:rsidR="00D66F0A" w:rsidRPr="00D4748D" w:rsidRDefault="00D66F0A" w:rsidP="00D66F0A">
            <w:pPr>
              <w:jc w:val="left"/>
              <w:rPr>
                <w:rFonts w:eastAsia="Times New Roman" w:cs="Calibri"/>
                <w:color w:val="000000"/>
                <w:sz w:val="20"/>
                <w:szCs w:val="20"/>
                <w:lang w:eastAsia="it-IT"/>
              </w:rPr>
            </w:pPr>
            <w:proofErr w:type="spellStart"/>
            <w:r w:rsidRPr="00D4748D">
              <w:rPr>
                <w:rFonts w:eastAsia="Times New Roman" w:cs="Calibri"/>
                <w:color w:val="000000"/>
                <w:sz w:val="20"/>
                <w:szCs w:val="20"/>
                <w:lang w:eastAsia="it-IT"/>
              </w:rPr>
              <w:t>Not</w:t>
            </w:r>
            <w:proofErr w:type="spellEnd"/>
            <w:r w:rsidRPr="00D4748D">
              <w:rPr>
                <w:rFonts w:eastAsia="Times New Roman" w:cs="Calibri"/>
                <w:color w:val="000000"/>
                <w:sz w:val="20"/>
                <w:szCs w:val="20"/>
                <w:lang w:eastAsia="it-IT"/>
              </w:rPr>
              <w:t xml:space="preserve"> </w:t>
            </w:r>
            <w:proofErr w:type="spellStart"/>
            <w:r w:rsidRPr="00D4748D">
              <w:rPr>
                <w:rFonts w:eastAsia="Times New Roman" w:cs="Calibri"/>
                <w:color w:val="000000"/>
                <w:sz w:val="20"/>
                <w:szCs w:val="20"/>
                <w:lang w:eastAsia="it-IT"/>
              </w:rPr>
              <w:t>divisible</w:t>
            </w:r>
            <w:proofErr w:type="spellEnd"/>
          </w:p>
        </w:tc>
        <w:tc>
          <w:tcPr>
            <w:tcW w:w="527" w:type="pct"/>
            <w:tcBorders>
              <w:top w:val="nil"/>
              <w:left w:val="nil"/>
              <w:bottom w:val="single" w:sz="8" w:space="0" w:color="auto"/>
              <w:right w:val="nil"/>
            </w:tcBorders>
            <w:shd w:val="clear" w:color="auto" w:fill="auto"/>
            <w:vAlign w:val="center"/>
            <w:hideMark/>
          </w:tcPr>
          <w:p w:rsidR="00D66F0A" w:rsidRPr="00D4748D" w:rsidRDefault="00D66F0A" w:rsidP="00D66F0A">
            <w:pPr>
              <w:jc w:val="right"/>
              <w:rPr>
                <w:rFonts w:eastAsia="Times New Roman" w:cs="Calibri"/>
                <w:b/>
                <w:bCs/>
                <w:color w:val="000000"/>
                <w:sz w:val="20"/>
                <w:szCs w:val="20"/>
                <w:lang w:eastAsia="it-IT"/>
              </w:rPr>
            </w:pPr>
            <w:r w:rsidRPr="00D4748D">
              <w:rPr>
                <w:rFonts w:eastAsia="Times New Roman" w:cs="Calibri"/>
                <w:b/>
                <w:bCs/>
                <w:color w:val="000000"/>
                <w:sz w:val="20"/>
                <w:szCs w:val="20"/>
                <w:lang w:eastAsia="it-IT"/>
              </w:rPr>
              <w:t>678</w:t>
            </w:r>
          </w:p>
        </w:tc>
        <w:tc>
          <w:tcPr>
            <w:tcW w:w="528" w:type="pct"/>
            <w:tcBorders>
              <w:top w:val="nil"/>
              <w:left w:val="nil"/>
              <w:bottom w:val="single" w:sz="8" w:space="0" w:color="auto"/>
              <w:right w:val="nil"/>
            </w:tcBorders>
            <w:shd w:val="clear" w:color="auto" w:fill="auto"/>
            <w:vAlign w:val="center"/>
            <w:hideMark/>
          </w:tcPr>
          <w:p w:rsidR="00D66F0A" w:rsidRPr="00D4748D" w:rsidRDefault="00D66F0A" w:rsidP="00D66F0A">
            <w:pPr>
              <w:jc w:val="right"/>
              <w:rPr>
                <w:rFonts w:eastAsia="Times New Roman" w:cs="Calibri"/>
                <w:b/>
                <w:bCs/>
                <w:color w:val="000000"/>
                <w:sz w:val="20"/>
                <w:szCs w:val="20"/>
                <w:lang w:eastAsia="it-IT"/>
              </w:rPr>
            </w:pPr>
            <w:r w:rsidRPr="00D4748D">
              <w:rPr>
                <w:rFonts w:eastAsia="Times New Roman" w:cs="Calibri"/>
                <w:b/>
                <w:bCs/>
                <w:color w:val="000000"/>
                <w:sz w:val="20"/>
                <w:szCs w:val="20"/>
                <w:lang w:eastAsia="it-IT"/>
              </w:rPr>
              <w:t>588</w:t>
            </w:r>
          </w:p>
        </w:tc>
        <w:tc>
          <w:tcPr>
            <w:tcW w:w="527" w:type="pct"/>
            <w:tcBorders>
              <w:top w:val="nil"/>
              <w:left w:val="nil"/>
              <w:bottom w:val="single" w:sz="8" w:space="0" w:color="auto"/>
              <w:right w:val="nil"/>
            </w:tcBorders>
            <w:shd w:val="clear" w:color="auto" w:fill="auto"/>
            <w:vAlign w:val="center"/>
            <w:hideMark/>
          </w:tcPr>
          <w:p w:rsidR="00D66F0A" w:rsidRPr="00D4748D" w:rsidRDefault="00D66F0A" w:rsidP="00D66F0A">
            <w:pPr>
              <w:jc w:val="right"/>
              <w:rPr>
                <w:rFonts w:eastAsia="Times New Roman" w:cs="Calibri"/>
                <w:b/>
                <w:bCs/>
                <w:color w:val="000000"/>
                <w:sz w:val="20"/>
                <w:szCs w:val="20"/>
                <w:lang w:eastAsia="it-IT"/>
              </w:rPr>
            </w:pPr>
            <w:r w:rsidRPr="00D4748D">
              <w:rPr>
                <w:rFonts w:eastAsia="Times New Roman" w:cs="Calibri"/>
                <w:b/>
                <w:bCs/>
                <w:color w:val="000000"/>
                <w:sz w:val="20"/>
                <w:szCs w:val="20"/>
                <w:lang w:eastAsia="it-IT"/>
              </w:rPr>
              <w:t>524</w:t>
            </w:r>
          </w:p>
        </w:tc>
        <w:tc>
          <w:tcPr>
            <w:tcW w:w="528" w:type="pct"/>
            <w:tcBorders>
              <w:top w:val="nil"/>
              <w:left w:val="nil"/>
              <w:bottom w:val="single" w:sz="8" w:space="0" w:color="auto"/>
              <w:right w:val="nil"/>
            </w:tcBorders>
            <w:shd w:val="clear" w:color="auto" w:fill="auto"/>
            <w:vAlign w:val="center"/>
            <w:hideMark/>
          </w:tcPr>
          <w:p w:rsidR="00D66F0A" w:rsidRPr="00D4748D" w:rsidRDefault="00D66F0A" w:rsidP="00D66F0A">
            <w:pPr>
              <w:jc w:val="right"/>
              <w:rPr>
                <w:rFonts w:eastAsia="Times New Roman" w:cs="Calibri"/>
                <w:b/>
                <w:bCs/>
                <w:color w:val="000000"/>
                <w:sz w:val="20"/>
                <w:szCs w:val="20"/>
                <w:lang w:eastAsia="it-IT"/>
              </w:rPr>
            </w:pPr>
            <w:r w:rsidRPr="00D4748D">
              <w:rPr>
                <w:rFonts w:eastAsia="Times New Roman" w:cs="Calibri"/>
                <w:b/>
                <w:bCs/>
                <w:color w:val="000000"/>
                <w:sz w:val="20"/>
                <w:szCs w:val="20"/>
                <w:lang w:eastAsia="it-IT"/>
              </w:rPr>
              <w:t>453</w:t>
            </w:r>
          </w:p>
        </w:tc>
        <w:tc>
          <w:tcPr>
            <w:tcW w:w="527" w:type="pct"/>
            <w:tcBorders>
              <w:top w:val="nil"/>
              <w:left w:val="nil"/>
              <w:bottom w:val="single" w:sz="8" w:space="0" w:color="auto"/>
              <w:right w:val="nil"/>
            </w:tcBorders>
            <w:shd w:val="clear" w:color="auto" w:fill="auto"/>
            <w:vAlign w:val="center"/>
            <w:hideMark/>
          </w:tcPr>
          <w:p w:rsidR="00D66F0A" w:rsidRPr="00D4748D" w:rsidRDefault="00D66F0A" w:rsidP="00D66F0A">
            <w:pPr>
              <w:jc w:val="right"/>
              <w:rPr>
                <w:rFonts w:eastAsia="Times New Roman" w:cs="Calibri"/>
                <w:b/>
                <w:bCs/>
                <w:color w:val="000000"/>
                <w:sz w:val="20"/>
                <w:szCs w:val="20"/>
                <w:lang w:eastAsia="it-IT"/>
              </w:rPr>
            </w:pPr>
            <w:r w:rsidRPr="00D4748D">
              <w:rPr>
                <w:rFonts w:eastAsia="Times New Roman" w:cs="Calibri"/>
                <w:b/>
                <w:bCs/>
                <w:color w:val="000000"/>
                <w:sz w:val="20"/>
                <w:szCs w:val="20"/>
                <w:lang w:eastAsia="it-IT"/>
              </w:rPr>
              <w:t>519</w:t>
            </w:r>
          </w:p>
        </w:tc>
        <w:tc>
          <w:tcPr>
            <w:tcW w:w="528" w:type="pct"/>
            <w:tcBorders>
              <w:top w:val="nil"/>
              <w:left w:val="nil"/>
              <w:bottom w:val="single" w:sz="8" w:space="0" w:color="auto"/>
              <w:right w:val="nil"/>
            </w:tcBorders>
            <w:shd w:val="clear" w:color="auto" w:fill="auto"/>
            <w:vAlign w:val="center"/>
            <w:hideMark/>
          </w:tcPr>
          <w:p w:rsidR="00D66F0A" w:rsidRPr="00D4748D" w:rsidRDefault="00D66F0A" w:rsidP="00D66F0A">
            <w:pPr>
              <w:jc w:val="right"/>
              <w:rPr>
                <w:rFonts w:eastAsia="Times New Roman" w:cs="Calibri"/>
                <w:b/>
                <w:bCs/>
                <w:color w:val="000000"/>
                <w:sz w:val="20"/>
                <w:szCs w:val="20"/>
                <w:lang w:eastAsia="it-IT"/>
              </w:rPr>
            </w:pPr>
            <w:r w:rsidRPr="00D4748D">
              <w:rPr>
                <w:rFonts w:eastAsia="Times New Roman" w:cs="Calibri"/>
                <w:b/>
                <w:bCs/>
                <w:color w:val="000000"/>
                <w:sz w:val="20"/>
                <w:szCs w:val="20"/>
                <w:lang w:eastAsia="it-IT"/>
              </w:rPr>
              <w:t>453</w:t>
            </w:r>
          </w:p>
        </w:tc>
        <w:tc>
          <w:tcPr>
            <w:tcW w:w="758" w:type="pct"/>
            <w:tcBorders>
              <w:top w:val="nil"/>
              <w:left w:val="nil"/>
              <w:bottom w:val="single" w:sz="8" w:space="0" w:color="auto"/>
              <w:right w:val="nil"/>
            </w:tcBorders>
            <w:shd w:val="clear" w:color="auto" w:fill="auto"/>
            <w:noWrap/>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-1.0</w:t>
            </w:r>
          </w:p>
        </w:tc>
      </w:tr>
      <w:tr w:rsidR="00D66F0A" w:rsidRPr="00D4748D" w:rsidTr="00D4748D">
        <w:trPr>
          <w:trHeight w:val="315"/>
        </w:trPr>
        <w:tc>
          <w:tcPr>
            <w:tcW w:w="1076" w:type="pct"/>
            <w:tcBorders>
              <w:top w:val="nil"/>
              <w:left w:val="nil"/>
              <w:bottom w:val="single" w:sz="8" w:space="0" w:color="auto"/>
              <w:right w:val="nil"/>
            </w:tcBorders>
            <w:shd w:val="clear" w:color="auto" w:fill="auto"/>
            <w:noWrap/>
            <w:vAlign w:val="center"/>
            <w:hideMark/>
          </w:tcPr>
          <w:p w:rsidR="00D66F0A" w:rsidRPr="00D4748D" w:rsidRDefault="00D66F0A" w:rsidP="00D66F0A">
            <w:pPr>
              <w:jc w:val="left"/>
              <w:rPr>
                <w:rFonts w:eastAsia="Times New Roman" w:cs="Calibri"/>
                <w:b/>
                <w:bCs/>
                <w:color w:val="000000"/>
                <w:sz w:val="20"/>
                <w:szCs w:val="20"/>
                <w:lang w:eastAsia="it-IT"/>
              </w:rPr>
            </w:pPr>
            <w:r w:rsidRPr="00D4748D">
              <w:rPr>
                <w:rFonts w:eastAsia="Times New Roman" w:cs="Calibri"/>
                <w:b/>
                <w:bCs/>
                <w:color w:val="000000"/>
                <w:sz w:val="20"/>
                <w:szCs w:val="20"/>
                <w:lang w:eastAsia="it-IT"/>
              </w:rPr>
              <w:t>Italy</w:t>
            </w:r>
          </w:p>
        </w:tc>
        <w:tc>
          <w:tcPr>
            <w:tcW w:w="527" w:type="pct"/>
            <w:tcBorders>
              <w:top w:val="nil"/>
              <w:left w:val="nil"/>
              <w:bottom w:val="single" w:sz="8" w:space="0" w:color="auto"/>
              <w:right w:val="nil"/>
            </w:tcBorders>
            <w:shd w:val="clear" w:color="auto" w:fill="auto"/>
            <w:vAlign w:val="center"/>
            <w:hideMark/>
          </w:tcPr>
          <w:p w:rsidR="00D66F0A" w:rsidRPr="00D4748D" w:rsidRDefault="00D66F0A" w:rsidP="00D66F0A">
            <w:pPr>
              <w:jc w:val="right"/>
              <w:rPr>
                <w:rFonts w:eastAsia="Times New Roman" w:cs="Calibri"/>
                <w:b/>
                <w:bCs/>
                <w:color w:val="000000"/>
                <w:sz w:val="20"/>
                <w:szCs w:val="20"/>
                <w:lang w:eastAsia="it-IT"/>
              </w:rPr>
            </w:pPr>
            <w:r w:rsidRPr="00D4748D">
              <w:rPr>
                <w:rFonts w:eastAsia="Times New Roman" w:cs="Calibri"/>
                <w:b/>
                <w:bCs/>
                <w:color w:val="000000"/>
                <w:sz w:val="20"/>
                <w:szCs w:val="20"/>
                <w:lang w:eastAsia="it-IT"/>
              </w:rPr>
              <w:t>36,359</w:t>
            </w:r>
          </w:p>
        </w:tc>
        <w:tc>
          <w:tcPr>
            <w:tcW w:w="528" w:type="pct"/>
            <w:tcBorders>
              <w:top w:val="nil"/>
              <w:left w:val="nil"/>
              <w:bottom w:val="single" w:sz="8" w:space="0" w:color="auto"/>
              <w:right w:val="nil"/>
            </w:tcBorders>
            <w:shd w:val="clear" w:color="auto" w:fill="auto"/>
            <w:vAlign w:val="center"/>
            <w:hideMark/>
          </w:tcPr>
          <w:p w:rsidR="00D66F0A" w:rsidRPr="00D4748D" w:rsidRDefault="00D66F0A" w:rsidP="00D66F0A">
            <w:pPr>
              <w:jc w:val="right"/>
              <w:rPr>
                <w:rFonts w:eastAsia="Times New Roman" w:cs="Calibri"/>
                <w:b/>
                <w:bCs/>
                <w:color w:val="000000"/>
                <w:sz w:val="20"/>
                <w:szCs w:val="20"/>
                <w:lang w:eastAsia="it-IT"/>
              </w:rPr>
            </w:pPr>
            <w:r w:rsidRPr="00D4748D">
              <w:rPr>
                <w:rFonts w:eastAsia="Times New Roman" w:cs="Calibri"/>
                <w:b/>
                <w:bCs/>
                <w:color w:val="000000"/>
                <w:sz w:val="20"/>
                <w:szCs w:val="20"/>
                <w:lang w:eastAsia="it-IT"/>
              </w:rPr>
              <w:t>24,586</w:t>
            </w:r>
          </w:p>
        </w:tc>
        <w:tc>
          <w:tcPr>
            <w:tcW w:w="527" w:type="pct"/>
            <w:tcBorders>
              <w:top w:val="nil"/>
              <w:left w:val="nil"/>
              <w:bottom w:val="single" w:sz="8" w:space="0" w:color="auto"/>
              <w:right w:val="nil"/>
            </w:tcBorders>
            <w:shd w:val="clear" w:color="auto" w:fill="auto"/>
            <w:vAlign w:val="center"/>
            <w:hideMark/>
          </w:tcPr>
          <w:p w:rsidR="00D66F0A" w:rsidRPr="00D4748D" w:rsidRDefault="00D66F0A" w:rsidP="00D66F0A">
            <w:pPr>
              <w:jc w:val="right"/>
              <w:rPr>
                <w:rFonts w:eastAsia="Times New Roman" w:cs="Calibri"/>
                <w:b/>
                <w:bCs/>
                <w:color w:val="000000"/>
                <w:sz w:val="20"/>
                <w:szCs w:val="20"/>
                <w:lang w:eastAsia="it-IT"/>
              </w:rPr>
            </w:pPr>
            <w:r w:rsidRPr="00D4748D">
              <w:rPr>
                <w:rFonts w:eastAsia="Times New Roman" w:cs="Calibri"/>
                <w:b/>
                <w:bCs/>
                <w:color w:val="000000"/>
                <w:sz w:val="20"/>
                <w:szCs w:val="20"/>
                <w:lang w:eastAsia="it-IT"/>
              </w:rPr>
              <w:t>25,738</w:t>
            </w:r>
          </w:p>
        </w:tc>
        <w:tc>
          <w:tcPr>
            <w:tcW w:w="528" w:type="pct"/>
            <w:tcBorders>
              <w:top w:val="nil"/>
              <w:left w:val="nil"/>
              <w:bottom w:val="single" w:sz="8" w:space="0" w:color="auto"/>
              <w:right w:val="nil"/>
            </w:tcBorders>
            <w:shd w:val="clear" w:color="auto" w:fill="auto"/>
            <w:vAlign w:val="center"/>
            <w:hideMark/>
          </w:tcPr>
          <w:p w:rsidR="00D66F0A" w:rsidRPr="00D4748D" w:rsidRDefault="00D66F0A" w:rsidP="00D66F0A">
            <w:pPr>
              <w:jc w:val="right"/>
              <w:rPr>
                <w:rFonts w:eastAsia="Times New Roman" w:cs="Calibri"/>
                <w:b/>
                <w:bCs/>
                <w:color w:val="000000"/>
                <w:sz w:val="20"/>
                <w:szCs w:val="20"/>
                <w:lang w:eastAsia="it-IT"/>
              </w:rPr>
            </w:pPr>
            <w:r w:rsidRPr="00D4748D">
              <w:rPr>
                <w:rFonts w:eastAsia="Times New Roman" w:cs="Calibri"/>
                <w:b/>
                <w:bCs/>
                <w:color w:val="000000"/>
                <w:sz w:val="20"/>
                <w:szCs w:val="20"/>
                <w:lang w:eastAsia="it-IT"/>
              </w:rPr>
              <w:t>17,951</w:t>
            </w:r>
          </w:p>
        </w:tc>
        <w:tc>
          <w:tcPr>
            <w:tcW w:w="527" w:type="pct"/>
            <w:tcBorders>
              <w:top w:val="nil"/>
              <w:left w:val="nil"/>
              <w:bottom w:val="single" w:sz="8" w:space="0" w:color="auto"/>
              <w:right w:val="nil"/>
            </w:tcBorders>
            <w:shd w:val="clear" w:color="auto" w:fill="auto"/>
            <w:vAlign w:val="center"/>
            <w:hideMark/>
          </w:tcPr>
          <w:p w:rsidR="00D66F0A" w:rsidRPr="00D4748D" w:rsidRDefault="00D66F0A" w:rsidP="00D66F0A">
            <w:pPr>
              <w:jc w:val="right"/>
              <w:rPr>
                <w:rFonts w:eastAsia="Times New Roman" w:cs="Calibri"/>
                <w:b/>
                <w:bCs/>
                <w:color w:val="000000"/>
                <w:sz w:val="20"/>
                <w:szCs w:val="20"/>
                <w:lang w:eastAsia="it-IT"/>
              </w:rPr>
            </w:pPr>
            <w:r w:rsidRPr="00D4748D">
              <w:rPr>
                <w:rFonts w:eastAsia="Times New Roman" w:cs="Calibri"/>
                <w:b/>
                <w:bCs/>
                <w:color w:val="000000"/>
                <w:sz w:val="20"/>
                <w:szCs w:val="20"/>
                <w:lang w:eastAsia="it-IT"/>
              </w:rPr>
              <w:t>27,267</w:t>
            </w:r>
          </w:p>
        </w:tc>
        <w:tc>
          <w:tcPr>
            <w:tcW w:w="528" w:type="pct"/>
            <w:tcBorders>
              <w:top w:val="nil"/>
              <w:left w:val="nil"/>
              <w:bottom w:val="single" w:sz="8" w:space="0" w:color="auto"/>
              <w:right w:val="nil"/>
            </w:tcBorders>
            <w:shd w:val="clear" w:color="auto" w:fill="auto"/>
            <w:vAlign w:val="center"/>
            <w:hideMark/>
          </w:tcPr>
          <w:p w:rsidR="00D66F0A" w:rsidRPr="00D4748D" w:rsidRDefault="00D66F0A" w:rsidP="00D66F0A">
            <w:pPr>
              <w:jc w:val="right"/>
              <w:rPr>
                <w:rFonts w:eastAsia="Times New Roman" w:cs="Calibri"/>
                <w:b/>
                <w:bCs/>
                <w:color w:val="000000"/>
                <w:sz w:val="20"/>
                <w:szCs w:val="20"/>
                <w:lang w:eastAsia="it-IT"/>
              </w:rPr>
            </w:pPr>
            <w:r w:rsidRPr="00D4748D">
              <w:rPr>
                <w:rFonts w:eastAsia="Times New Roman" w:cs="Calibri"/>
                <w:b/>
                <w:bCs/>
                <w:color w:val="000000"/>
                <w:sz w:val="20"/>
                <w:szCs w:val="20"/>
                <w:lang w:eastAsia="it-IT"/>
              </w:rPr>
              <w:t>18,844</w:t>
            </w:r>
          </w:p>
        </w:tc>
        <w:tc>
          <w:tcPr>
            <w:tcW w:w="758" w:type="pct"/>
            <w:tcBorders>
              <w:top w:val="nil"/>
              <w:left w:val="nil"/>
              <w:bottom w:val="single" w:sz="8" w:space="0" w:color="auto"/>
              <w:right w:val="nil"/>
            </w:tcBorders>
            <w:shd w:val="clear" w:color="auto" w:fill="auto"/>
            <w:noWrap/>
            <w:vAlign w:val="center"/>
            <w:hideMark/>
          </w:tcPr>
          <w:p w:rsidR="00D66F0A" w:rsidRPr="00D4748D" w:rsidRDefault="00D66F0A" w:rsidP="00D66F0A">
            <w:pPr>
              <w:jc w:val="right"/>
              <w:rPr>
                <w:rFonts w:eastAsia="Times New Roman" w:cs="Calibri"/>
                <w:color w:val="000000"/>
                <w:sz w:val="20"/>
                <w:szCs w:val="20"/>
                <w:lang w:eastAsia="it-IT"/>
              </w:rPr>
            </w:pPr>
            <w:r w:rsidRPr="00D4748D">
              <w:rPr>
                <w:rFonts w:eastAsia="Times New Roman" w:cs="Calibri"/>
                <w:color w:val="000000"/>
                <w:sz w:val="20"/>
                <w:szCs w:val="20"/>
                <w:lang w:eastAsia="it-IT"/>
              </w:rPr>
              <w:t>5.9</w:t>
            </w:r>
          </w:p>
        </w:tc>
      </w:tr>
    </w:tbl>
    <w:p w:rsidR="00D4748D" w:rsidRPr="00D4748D" w:rsidRDefault="002D271A" w:rsidP="00D4748D">
      <w:pPr>
        <w:spacing w:after="120"/>
        <w:rPr>
          <w:rFonts w:asciiTheme="majorHAnsi" w:hAnsiTheme="majorHAnsi"/>
          <w:sz w:val="18"/>
          <w:szCs w:val="18"/>
          <w:lang w:val="en-US"/>
        </w:rPr>
      </w:pPr>
      <w:r w:rsidRPr="002D271A">
        <w:rPr>
          <w:rFonts w:asciiTheme="majorHAnsi" w:hAnsiTheme="majorHAnsi"/>
          <w:sz w:val="18"/>
          <w:szCs w:val="18"/>
          <w:lang w:val="en-US"/>
        </w:rPr>
        <w:t>Source</w:t>
      </w:r>
      <w:r w:rsidR="00D4748D" w:rsidRPr="002D271A">
        <w:rPr>
          <w:rFonts w:asciiTheme="majorHAnsi" w:hAnsiTheme="majorHAnsi"/>
          <w:sz w:val="18"/>
          <w:szCs w:val="18"/>
          <w:lang w:val="en-US"/>
        </w:rPr>
        <w:t xml:space="preserve">: Confindustria and SRM elaborations on Banca </w:t>
      </w:r>
      <w:proofErr w:type="spellStart"/>
      <w:r w:rsidR="00D4748D" w:rsidRPr="002D271A">
        <w:rPr>
          <w:rFonts w:asciiTheme="majorHAnsi" w:hAnsiTheme="majorHAnsi"/>
          <w:sz w:val="18"/>
          <w:szCs w:val="18"/>
          <w:lang w:val="en-US"/>
        </w:rPr>
        <w:t>d’Italia</w:t>
      </w:r>
      <w:proofErr w:type="spellEnd"/>
      <w:r w:rsidR="00D4748D" w:rsidRPr="002D271A">
        <w:rPr>
          <w:rFonts w:asciiTheme="majorHAnsi" w:hAnsiTheme="majorHAnsi"/>
          <w:sz w:val="18"/>
          <w:szCs w:val="18"/>
          <w:lang w:val="en-US"/>
        </w:rPr>
        <w:t xml:space="preserve"> data</w:t>
      </w:r>
    </w:p>
    <w:p w:rsidR="009914C2" w:rsidRDefault="009914C2" w:rsidP="007F4FFE">
      <w:pPr>
        <w:shd w:val="clear" w:color="auto" w:fill="FFFFFF"/>
        <w:spacing w:after="120"/>
        <w:rPr>
          <w:rFonts w:asciiTheme="majorHAnsi" w:hAnsiTheme="majorHAnsi"/>
          <w:b/>
          <w:lang w:val="en-US"/>
        </w:rPr>
      </w:pPr>
    </w:p>
    <w:p w:rsidR="00CF36FD" w:rsidRPr="00D4748D" w:rsidRDefault="00CF36FD" w:rsidP="007F4FFE">
      <w:pPr>
        <w:shd w:val="clear" w:color="auto" w:fill="FFFFFF"/>
        <w:spacing w:after="120"/>
        <w:rPr>
          <w:rFonts w:asciiTheme="majorHAnsi" w:hAnsiTheme="majorHAnsi"/>
          <w:b/>
          <w:lang w:val="en-US"/>
        </w:rPr>
      </w:pPr>
    </w:p>
    <w:p w:rsidR="00432E86" w:rsidRPr="002D271A" w:rsidRDefault="002D271A" w:rsidP="00432E86">
      <w:pPr>
        <w:shd w:val="clear" w:color="auto" w:fill="FFFFFF"/>
        <w:spacing w:after="120"/>
        <w:jc w:val="center"/>
        <w:rPr>
          <w:rFonts w:asciiTheme="majorHAnsi" w:hAnsiTheme="majorHAnsi"/>
          <w:b/>
          <w:lang w:val="en-US"/>
        </w:rPr>
      </w:pPr>
      <w:r w:rsidRPr="002D271A">
        <w:rPr>
          <w:rFonts w:asciiTheme="majorHAnsi" w:hAnsiTheme="majorHAnsi"/>
          <w:b/>
          <w:lang w:val="en-US"/>
        </w:rPr>
        <w:t>%  variation 2014-2015 of the main structural indicators of tourist companies</w:t>
      </w:r>
      <w:r w:rsidR="00D66F0A">
        <w:rPr>
          <w:rFonts w:asciiTheme="majorHAnsi" w:hAnsiTheme="majorHAnsi"/>
          <w:b/>
          <w:noProof/>
          <w:lang w:eastAsia="it-IT"/>
        </w:rPr>
        <w:drawing>
          <wp:inline distT="0" distB="0" distL="0" distR="0" wp14:anchorId="2FA0AD61">
            <wp:extent cx="6098875" cy="3074781"/>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1182" cy="3075944"/>
                    </a:xfrm>
                    <a:prstGeom prst="rect">
                      <a:avLst/>
                    </a:prstGeom>
                    <a:noFill/>
                  </pic:spPr>
                </pic:pic>
              </a:graphicData>
            </a:graphic>
          </wp:inline>
        </w:drawing>
      </w:r>
    </w:p>
    <w:p w:rsidR="00D4748D" w:rsidRPr="002D271A" w:rsidRDefault="002D271A" w:rsidP="00D4748D">
      <w:pPr>
        <w:spacing w:after="120"/>
        <w:rPr>
          <w:rFonts w:asciiTheme="majorHAnsi" w:hAnsiTheme="majorHAnsi"/>
          <w:sz w:val="18"/>
          <w:szCs w:val="18"/>
          <w:lang w:val="en-US"/>
        </w:rPr>
      </w:pPr>
      <w:r w:rsidRPr="002D271A">
        <w:rPr>
          <w:rFonts w:asciiTheme="majorHAnsi" w:hAnsiTheme="majorHAnsi"/>
          <w:sz w:val="18"/>
          <w:szCs w:val="18"/>
          <w:lang w:val="en-US"/>
        </w:rPr>
        <w:t>Source</w:t>
      </w:r>
      <w:r w:rsidR="00D4748D" w:rsidRPr="002D271A">
        <w:rPr>
          <w:rFonts w:asciiTheme="majorHAnsi" w:hAnsiTheme="majorHAnsi"/>
          <w:sz w:val="18"/>
          <w:szCs w:val="18"/>
          <w:lang w:val="en-US"/>
        </w:rPr>
        <w:t xml:space="preserve">: Confindustria and SRM elaborations on </w:t>
      </w:r>
      <w:proofErr w:type="spellStart"/>
      <w:r w:rsidR="00D4748D" w:rsidRPr="002D271A">
        <w:rPr>
          <w:rFonts w:asciiTheme="majorHAnsi" w:hAnsiTheme="majorHAnsi"/>
          <w:sz w:val="18"/>
          <w:szCs w:val="18"/>
          <w:lang w:val="en-US"/>
        </w:rPr>
        <w:t>Istat</w:t>
      </w:r>
      <w:proofErr w:type="spellEnd"/>
      <w:r w:rsidR="00D4748D" w:rsidRPr="002D271A">
        <w:rPr>
          <w:rFonts w:asciiTheme="majorHAnsi" w:hAnsiTheme="majorHAnsi"/>
          <w:sz w:val="18"/>
          <w:szCs w:val="18"/>
          <w:lang w:val="en-US"/>
        </w:rPr>
        <w:t xml:space="preserve"> data</w:t>
      </w:r>
    </w:p>
    <w:p w:rsidR="00D66F0A" w:rsidRPr="002D271A" w:rsidRDefault="00D66F0A" w:rsidP="00D66F0A">
      <w:pPr>
        <w:shd w:val="clear" w:color="auto" w:fill="FFFFFF"/>
        <w:spacing w:after="120"/>
        <w:rPr>
          <w:rFonts w:ascii="HelveticaLTStd-Cond" w:hAnsi="HelveticaLTStd-Cond" w:cs="HelveticaLTStd-Cond"/>
          <w:sz w:val="18"/>
          <w:szCs w:val="18"/>
          <w:lang w:val="en-US" w:eastAsia="it-IT"/>
        </w:rPr>
      </w:pPr>
    </w:p>
    <w:p w:rsidR="00D4748D" w:rsidRPr="002D271A" w:rsidRDefault="00D4748D" w:rsidP="00D66F0A">
      <w:pPr>
        <w:shd w:val="clear" w:color="auto" w:fill="FFFFFF"/>
        <w:spacing w:after="120"/>
        <w:rPr>
          <w:rFonts w:ascii="HelveticaLTStd-Cond" w:hAnsi="HelveticaLTStd-Cond" w:cs="HelveticaLTStd-Cond"/>
          <w:sz w:val="18"/>
          <w:szCs w:val="18"/>
          <w:lang w:val="en-US" w:eastAsia="it-IT"/>
        </w:rPr>
      </w:pPr>
    </w:p>
    <w:p w:rsidR="00D4748D" w:rsidRPr="002D271A" w:rsidRDefault="00D4748D" w:rsidP="00D66F0A">
      <w:pPr>
        <w:shd w:val="clear" w:color="auto" w:fill="FFFFFF"/>
        <w:spacing w:after="120"/>
        <w:rPr>
          <w:rFonts w:ascii="HelveticaLTStd-Cond" w:hAnsi="HelveticaLTStd-Cond" w:cs="HelveticaLTStd-Cond"/>
          <w:sz w:val="18"/>
          <w:szCs w:val="18"/>
          <w:lang w:val="en-US" w:eastAsia="it-IT"/>
        </w:rPr>
      </w:pPr>
    </w:p>
    <w:p w:rsidR="00D4748D" w:rsidRPr="002D271A" w:rsidRDefault="00D4748D" w:rsidP="00D66F0A">
      <w:pPr>
        <w:shd w:val="clear" w:color="auto" w:fill="FFFFFF"/>
        <w:spacing w:after="120"/>
        <w:rPr>
          <w:rFonts w:ascii="HelveticaLTStd-Cond" w:hAnsi="HelveticaLTStd-Cond" w:cs="HelveticaLTStd-Cond"/>
          <w:sz w:val="18"/>
          <w:szCs w:val="18"/>
          <w:lang w:val="en-US" w:eastAsia="it-IT"/>
        </w:rPr>
      </w:pPr>
    </w:p>
    <w:p w:rsidR="00D4748D" w:rsidRPr="002D271A" w:rsidRDefault="00D4748D" w:rsidP="00D66F0A">
      <w:pPr>
        <w:shd w:val="clear" w:color="auto" w:fill="FFFFFF"/>
        <w:spacing w:after="120"/>
        <w:rPr>
          <w:rFonts w:ascii="HelveticaLTStd-Cond" w:hAnsi="HelveticaLTStd-Cond" w:cs="HelveticaLTStd-Cond"/>
          <w:sz w:val="18"/>
          <w:szCs w:val="18"/>
          <w:lang w:val="en-US" w:eastAsia="it-IT"/>
        </w:rPr>
      </w:pPr>
    </w:p>
    <w:p w:rsidR="00D4748D" w:rsidRPr="002D271A" w:rsidRDefault="00D4748D" w:rsidP="00D66F0A">
      <w:pPr>
        <w:shd w:val="clear" w:color="auto" w:fill="FFFFFF"/>
        <w:spacing w:after="120"/>
        <w:rPr>
          <w:rFonts w:ascii="HelveticaLTStd-Cond" w:hAnsi="HelveticaLTStd-Cond" w:cs="HelveticaLTStd-Cond"/>
          <w:sz w:val="18"/>
          <w:szCs w:val="18"/>
          <w:lang w:val="en-US" w:eastAsia="it-IT"/>
        </w:rPr>
      </w:pPr>
    </w:p>
    <w:p w:rsidR="00D4748D" w:rsidRPr="002D271A" w:rsidRDefault="00D4748D" w:rsidP="00D66F0A">
      <w:pPr>
        <w:shd w:val="clear" w:color="auto" w:fill="FFFFFF"/>
        <w:spacing w:after="120"/>
        <w:rPr>
          <w:rFonts w:ascii="HelveticaLTStd-Cond" w:hAnsi="HelveticaLTStd-Cond" w:cs="HelveticaLTStd-Cond"/>
          <w:sz w:val="18"/>
          <w:szCs w:val="18"/>
          <w:lang w:val="en-US" w:eastAsia="it-IT"/>
        </w:rPr>
      </w:pPr>
    </w:p>
    <w:p w:rsidR="00D66F0A" w:rsidRPr="00095BE0" w:rsidRDefault="00095BE0" w:rsidP="000872D2">
      <w:pPr>
        <w:shd w:val="clear" w:color="auto" w:fill="FFFFFF"/>
        <w:spacing w:after="120"/>
        <w:jc w:val="center"/>
        <w:rPr>
          <w:rFonts w:asciiTheme="majorHAnsi" w:hAnsiTheme="majorHAnsi"/>
          <w:b/>
          <w:lang w:val="en-US"/>
        </w:rPr>
      </w:pPr>
      <w:r w:rsidRPr="00095BE0">
        <w:rPr>
          <w:rFonts w:asciiTheme="majorHAnsi" w:hAnsiTheme="majorHAnsi"/>
          <w:b/>
          <w:lang w:val="en-US"/>
        </w:rPr>
        <w:lastRenderedPageBreak/>
        <w:t xml:space="preserve">Profitability indices of hotel companies of the </w:t>
      </w:r>
      <w:proofErr w:type="spellStart"/>
      <w:r w:rsidRPr="00095BE0">
        <w:rPr>
          <w:rFonts w:asciiTheme="majorHAnsi" w:hAnsiTheme="majorHAnsi"/>
          <w:b/>
          <w:lang w:val="en-US"/>
        </w:rPr>
        <w:t>Mezzogiorno</w:t>
      </w:r>
      <w:proofErr w:type="spellEnd"/>
      <w:r w:rsidRPr="00095BE0">
        <w:rPr>
          <w:rFonts w:asciiTheme="majorHAnsi" w:hAnsiTheme="majorHAnsi"/>
          <w:b/>
          <w:lang w:val="en-US"/>
        </w:rPr>
        <w:t xml:space="preserve"> (years 2008-2016)  </w:t>
      </w:r>
      <w:r w:rsidR="00D66F0A">
        <w:rPr>
          <w:rFonts w:asciiTheme="majorHAnsi" w:hAnsiTheme="majorHAnsi"/>
          <w:b/>
          <w:noProof/>
          <w:lang w:eastAsia="it-IT"/>
        </w:rPr>
        <w:drawing>
          <wp:inline distT="0" distB="0" distL="0" distR="0" wp14:anchorId="6236E010">
            <wp:extent cx="6136751" cy="2648103"/>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31740" cy="2645940"/>
                    </a:xfrm>
                    <a:prstGeom prst="rect">
                      <a:avLst/>
                    </a:prstGeom>
                    <a:noFill/>
                  </pic:spPr>
                </pic:pic>
              </a:graphicData>
            </a:graphic>
          </wp:inline>
        </w:drawing>
      </w:r>
    </w:p>
    <w:p w:rsidR="009950C9" w:rsidRPr="00E6476B" w:rsidRDefault="00095BE0" w:rsidP="00D4748D">
      <w:pPr>
        <w:spacing w:after="120"/>
        <w:rPr>
          <w:rFonts w:asciiTheme="majorHAnsi" w:hAnsiTheme="majorHAnsi"/>
          <w:sz w:val="18"/>
          <w:szCs w:val="18"/>
          <w:lang w:val="en-US"/>
        </w:rPr>
      </w:pPr>
      <w:r w:rsidRPr="00E6476B">
        <w:rPr>
          <w:rFonts w:asciiTheme="majorHAnsi" w:hAnsiTheme="majorHAnsi"/>
          <w:sz w:val="18"/>
          <w:szCs w:val="18"/>
          <w:lang w:val="en-US"/>
        </w:rPr>
        <w:t>Source</w:t>
      </w:r>
      <w:r w:rsidR="009950C9" w:rsidRPr="00E6476B">
        <w:rPr>
          <w:rFonts w:asciiTheme="majorHAnsi" w:hAnsiTheme="majorHAnsi"/>
          <w:sz w:val="18"/>
          <w:szCs w:val="18"/>
          <w:lang w:val="en-US"/>
        </w:rPr>
        <w:t xml:space="preserve">: Confindustria </w:t>
      </w:r>
      <w:proofErr w:type="spellStart"/>
      <w:r w:rsidR="009950C9" w:rsidRPr="00E6476B">
        <w:rPr>
          <w:rFonts w:asciiTheme="majorHAnsi" w:hAnsiTheme="majorHAnsi"/>
          <w:sz w:val="18"/>
          <w:szCs w:val="18"/>
          <w:lang w:val="en-US"/>
        </w:rPr>
        <w:t>Alberghi</w:t>
      </w:r>
      <w:proofErr w:type="spellEnd"/>
      <w:r w:rsidR="009950C9" w:rsidRPr="00E6476B">
        <w:rPr>
          <w:rFonts w:asciiTheme="majorHAnsi" w:hAnsiTheme="majorHAnsi"/>
          <w:sz w:val="18"/>
          <w:szCs w:val="18"/>
          <w:lang w:val="en-US"/>
        </w:rPr>
        <w:t xml:space="preserve"> </w:t>
      </w:r>
      <w:r w:rsidR="00D4748D" w:rsidRPr="00E6476B">
        <w:rPr>
          <w:rFonts w:asciiTheme="majorHAnsi" w:hAnsiTheme="majorHAnsi"/>
          <w:sz w:val="18"/>
          <w:szCs w:val="18"/>
          <w:lang w:val="en-US"/>
        </w:rPr>
        <w:t>elaborations on</w:t>
      </w:r>
      <w:r w:rsidR="009950C9" w:rsidRPr="00E6476B">
        <w:rPr>
          <w:rFonts w:asciiTheme="majorHAnsi" w:hAnsiTheme="majorHAnsi"/>
          <w:sz w:val="18"/>
          <w:szCs w:val="18"/>
          <w:lang w:val="en-US"/>
        </w:rPr>
        <w:t xml:space="preserve"> AIDA</w:t>
      </w:r>
      <w:r w:rsidR="00D4748D" w:rsidRPr="00E6476B">
        <w:rPr>
          <w:rFonts w:asciiTheme="majorHAnsi" w:hAnsiTheme="majorHAnsi"/>
          <w:sz w:val="18"/>
          <w:szCs w:val="18"/>
          <w:lang w:val="en-US"/>
        </w:rPr>
        <w:t xml:space="preserve"> data</w:t>
      </w:r>
    </w:p>
    <w:p w:rsidR="009914C2" w:rsidRPr="00E6476B" w:rsidRDefault="009914C2" w:rsidP="00432E86">
      <w:pPr>
        <w:shd w:val="clear" w:color="auto" w:fill="FFFFFF"/>
        <w:spacing w:after="120"/>
        <w:rPr>
          <w:rFonts w:asciiTheme="majorHAnsi" w:hAnsiTheme="majorHAnsi"/>
          <w:b/>
          <w:lang w:val="en-US"/>
        </w:rPr>
      </w:pPr>
    </w:p>
    <w:p w:rsidR="009950C9" w:rsidRPr="00E6476B" w:rsidRDefault="00E6476B" w:rsidP="00432E86">
      <w:pPr>
        <w:shd w:val="clear" w:color="auto" w:fill="FFFFFF"/>
        <w:spacing w:after="120"/>
        <w:rPr>
          <w:rFonts w:asciiTheme="majorHAnsi" w:hAnsiTheme="majorHAnsi"/>
          <w:b/>
          <w:lang w:val="en-US"/>
        </w:rPr>
      </w:pPr>
      <w:r w:rsidRPr="00E6476B">
        <w:rPr>
          <w:rFonts w:asciiTheme="majorHAnsi" w:hAnsiTheme="majorHAnsi"/>
          <w:b/>
          <w:lang w:val="en-US"/>
        </w:rPr>
        <w:t>Total turnover and value added of thermal facilities by region (% values, year 2016)</w:t>
      </w:r>
    </w:p>
    <w:tbl>
      <w:tblPr>
        <w:tblW w:w="5000" w:type="pct"/>
        <w:tblCellMar>
          <w:left w:w="70" w:type="dxa"/>
          <w:right w:w="70" w:type="dxa"/>
        </w:tblCellMar>
        <w:tblLook w:val="04A0" w:firstRow="1" w:lastRow="0" w:firstColumn="1" w:lastColumn="0" w:noHBand="0" w:noVBand="1"/>
      </w:tblPr>
      <w:tblGrid>
        <w:gridCol w:w="5549"/>
        <w:gridCol w:w="1961"/>
        <w:gridCol w:w="2268"/>
      </w:tblGrid>
      <w:tr w:rsidR="00D66F0A" w:rsidRPr="00D66F0A" w:rsidTr="00D66F0A">
        <w:trPr>
          <w:trHeight w:val="300"/>
        </w:trPr>
        <w:tc>
          <w:tcPr>
            <w:tcW w:w="2837" w:type="pct"/>
            <w:vMerge w:val="restart"/>
            <w:tcBorders>
              <w:top w:val="nil"/>
              <w:left w:val="nil"/>
              <w:bottom w:val="nil"/>
              <w:right w:val="nil"/>
            </w:tcBorders>
            <w:shd w:val="clear" w:color="000000" w:fill="0070C0"/>
            <w:vAlign w:val="center"/>
            <w:hideMark/>
          </w:tcPr>
          <w:p w:rsidR="00D66F0A" w:rsidRPr="00E6476B" w:rsidRDefault="00D66F0A" w:rsidP="00D66F0A">
            <w:pPr>
              <w:jc w:val="center"/>
              <w:rPr>
                <w:rFonts w:eastAsia="Times New Roman" w:cs="Calibri"/>
                <w:color w:val="FFFFFF"/>
                <w:sz w:val="20"/>
                <w:szCs w:val="20"/>
                <w:lang w:val="en-US" w:eastAsia="it-IT"/>
              </w:rPr>
            </w:pPr>
            <w:r w:rsidRPr="00E6476B">
              <w:rPr>
                <w:rFonts w:eastAsia="Times New Roman" w:cs="Calibri"/>
                <w:color w:val="FFFFFF"/>
                <w:sz w:val="20"/>
                <w:szCs w:val="20"/>
                <w:lang w:val="en-US" w:eastAsia="it-IT"/>
              </w:rPr>
              <w:t> </w:t>
            </w:r>
          </w:p>
        </w:tc>
        <w:tc>
          <w:tcPr>
            <w:tcW w:w="1003" w:type="pct"/>
            <w:tcBorders>
              <w:top w:val="nil"/>
              <w:left w:val="nil"/>
              <w:bottom w:val="nil"/>
              <w:right w:val="nil"/>
            </w:tcBorders>
            <w:shd w:val="clear" w:color="000000" w:fill="0070C0"/>
            <w:vAlign w:val="center"/>
            <w:hideMark/>
          </w:tcPr>
          <w:p w:rsidR="00D66F0A" w:rsidRPr="00D66F0A" w:rsidRDefault="00D66F0A" w:rsidP="00D66F0A">
            <w:pPr>
              <w:jc w:val="center"/>
              <w:rPr>
                <w:rFonts w:eastAsia="Times New Roman" w:cs="Calibri"/>
                <w:color w:val="FFFFFF"/>
                <w:sz w:val="20"/>
                <w:szCs w:val="20"/>
                <w:lang w:eastAsia="it-IT"/>
              </w:rPr>
            </w:pPr>
            <w:r w:rsidRPr="00D66F0A">
              <w:rPr>
                <w:rFonts w:eastAsia="Times New Roman" w:cs="Calibri"/>
                <w:color w:val="FFFFFF"/>
                <w:sz w:val="20"/>
                <w:szCs w:val="20"/>
                <w:lang w:eastAsia="it-IT"/>
              </w:rPr>
              <w:t>Turnover</w:t>
            </w:r>
          </w:p>
        </w:tc>
        <w:tc>
          <w:tcPr>
            <w:tcW w:w="1159" w:type="pct"/>
            <w:tcBorders>
              <w:top w:val="nil"/>
              <w:left w:val="nil"/>
              <w:bottom w:val="nil"/>
              <w:right w:val="nil"/>
            </w:tcBorders>
            <w:shd w:val="clear" w:color="000000" w:fill="0070C0"/>
            <w:vAlign w:val="center"/>
            <w:hideMark/>
          </w:tcPr>
          <w:p w:rsidR="00D66F0A" w:rsidRPr="00D66F0A" w:rsidRDefault="00D66F0A" w:rsidP="00D66F0A">
            <w:pPr>
              <w:jc w:val="center"/>
              <w:rPr>
                <w:rFonts w:eastAsia="Times New Roman" w:cs="Calibri"/>
                <w:color w:val="FFFFFF"/>
                <w:sz w:val="20"/>
                <w:szCs w:val="20"/>
                <w:lang w:eastAsia="it-IT"/>
              </w:rPr>
            </w:pPr>
            <w:r w:rsidRPr="00D66F0A">
              <w:rPr>
                <w:rFonts w:eastAsia="Times New Roman" w:cs="Calibri"/>
                <w:color w:val="FFFFFF"/>
                <w:sz w:val="20"/>
                <w:szCs w:val="20"/>
                <w:lang w:eastAsia="it-IT"/>
              </w:rPr>
              <w:t xml:space="preserve">Value </w:t>
            </w:r>
            <w:proofErr w:type="spellStart"/>
            <w:r w:rsidRPr="00D66F0A">
              <w:rPr>
                <w:rFonts w:eastAsia="Times New Roman" w:cs="Calibri"/>
                <w:color w:val="FFFFFF"/>
                <w:sz w:val="20"/>
                <w:szCs w:val="20"/>
                <w:lang w:eastAsia="it-IT"/>
              </w:rPr>
              <w:t>Added</w:t>
            </w:r>
            <w:proofErr w:type="spellEnd"/>
          </w:p>
        </w:tc>
      </w:tr>
      <w:tr w:rsidR="00D66F0A" w:rsidRPr="00D66F0A" w:rsidTr="00D66F0A">
        <w:trPr>
          <w:trHeight w:val="300"/>
        </w:trPr>
        <w:tc>
          <w:tcPr>
            <w:tcW w:w="2837" w:type="pct"/>
            <w:vMerge/>
            <w:tcBorders>
              <w:top w:val="nil"/>
              <w:left w:val="nil"/>
              <w:bottom w:val="nil"/>
              <w:right w:val="nil"/>
            </w:tcBorders>
            <w:vAlign w:val="center"/>
            <w:hideMark/>
          </w:tcPr>
          <w:p w:rsidR="00D66F0A" w:rsidRPr="00D66F0A" w:rsidRDefault="00D66F0A" w:rsidP="00D66F0A">
            <w:pPr>
              <w:jc w:val="left"/>
              <w:rPr>
                <w:rFonts w:eastAsia="Times New Roman" w:cs="Calibri"/>
                <w:color w:val="FFFFFF"/>
                <w:sz w:val="20"/>
                <w:szCs w:val="20"/>
                <w:lang w:eastAsia="it-IT"/>
              </w:rPr>
            </w:pPr>
          </w:p>
        </w:tc>
        <w:tc>
          <w:tcPr>
            <w:tcW w:w="2163" w:type="pct"/>
            <w:gridSpan w:val="2"/>
            <w:tcBorders>
              <w:top w:val="nil"/>
              <w:left w:val="nil"/>
              <w:bottom w:val="nil"/>
              <w:right w:val="nil"/>
            </w:tcBorders>
            <w:shd w:val="clear" w:color="000000" w:fill="0070C0"/>
            <w:vAlign w:val="center"/>
            <w:hideMark/>
          </w:tcPr>
          <w:p w:rsidR="00D66F0A" w:rsidRPr="00D66F0A" w:rsidRDefault="00D66F0A" w:rsidP="00D66F0A">
            <w:pPr>
              <w:jc w:val="center"/>
              <w:rPr>
                <w:rFonts w:eastAsia="Times New Roman" w:cs="Calibri"/>
                <w:i/>
                <w:iCs/>
                <w:color w:val="FFFFFF"/>
                <w:sz w:val="20"/>
                <w:szCs w:val="20"/>
                <w:lang w:eastAsia="it-IT"/>
              </w:rPr>
            </w:pPr>
            <w:proofErr w:type="spellStart"/>
            <w:r w:rsidRPr="00D66F0A">
              <w:rPr>
                <w:rFonts w:eastAsia="Times New Roman" w:cs="Calibri"/>
                <w:i/>
                <w:iCs/>
                <w:color w:val="FFFFFF"/>
                <w:sz w:val="20"/>
                <w:szCs w:val="20"/>
                <w:lang w:eastAsia="it-IT"/>
              </w:rPr>
              <w:t>Composition</w:t>
            </w:r>
            <w:proofErr w:type="spellEnd"/>
            <w:r w:rsidRPr="00D66F0A">
              <w:rPr>
                <w:rFonts w:eastAsia="Times New Roman" w:cs="Calibri"/>
                <w:i/>
                <w:iCs/>
                <w:color w:val="FFFFFF"/>
                <w:sz w:val="20"/>
                <w:szCs w:val="20"/>
                <w:lang w:eastAsia="it-IT"/>
              </w:rPr>
              <w:t xml:space="preserve"> %</w:t>
            </w:r>
          </w:p>
        </w:tc>
      </w:tr>
      <w:tr w:rsidR="00D66F0A" w:rsidRPr="00D66F0A" w:rsidTr="00D66F0A">
        <w:trPr>
          <w:trHeight w:val="315"/>
        </w:trPr>
        <w:tc>
          <w:tcPr>
            <w:tcW w:w="2837" w:type="pct"/>
            <w:tcBorders>
              <w:top w:val="nil"/>
              <w:left w:val="nil"/>
              <w:bottom w:val="single" w:sz="8" w:space="0" w:color="auto"/>
              <w:right w:val="nil"/>
            </w:tcBorders>
            <w:shd w:val="clear" w:color="auto" w:fill="auto"/>
            <w:noWrap/>
            <w:vAlign w:val="center"/>
            <w:hideMark/>
          </w:tcPr>
          <w:p w:rsidR="00D66F0A" w:rsidRPr="00D66F0A" w:rsidRDefault="00D66F0A" w:rsidP="00D66F0A">
            <w:pPr>
              <w:rPr>
                <w:rFonts w:eastAsia="Times New Roman" w:cs="Calibri"/>
                <w:color w:val="000000"/>
                <w:sz w:val="20"/>
                <w:szCs w:val="20"/>
                <w:lang w:eastAsia="it-IT"/>
              </w:rPr>
            </w:pPr>
            <w:r w:rsidRPr="00D66F0A">
              <w:rPr>
                <w:rFonts w:eastAsia="Times New Roman" w:cs="Calibri"/>
                <w:color w:val="000000"/>
                <w:sz w:val="20"/>
                <w:szCs w:val="20"/>
                <w:lang w:eastAsia="it-IT"/>
              </w:rPr>
              <w:t>North West</w:t>
            </w:r>
          </w:p>
        </w:tc>
        <w:tc>
          <w:tcPr>
            <w:tcW w:w="1003" w:type="pct"/>
            <w:tcBorders>
              <w:top w:val="nil"/>
              <w:left w:val="nil"/>
              <w:bottom w:val="single" w:sz="8" w:space="0" w:color="auto"/>
              <w:right w:val="nil"/>
            </w:tcBorders>
            <w:shd w:val="clear" w:color="auto" w:fill="auto"/>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9.1</w:t>
            </w:r>
          </w:p>
        </w:tc>
        <w:tc>
          <w:tcPr>
            <w:tcW w:w="1159" w:type="pct"/>
            <w:tcBorders>
              <w:top w:val="nil"/>
              <w:left w:val="nil"/>
              <w:bottom w:val="single" w:sz="8" w:space="0" w:color="auto"/>
              <w:right w:val="nil"/>
            </w:tcBorders>
            <w:shd w:val="clear" w:color="auto" w:fill="auto"/>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8.9</w:t>
            </w:r>
          </w:p>
        </w:tc>
      </w:tr>
      <w:tr w:rsidR="00D66F0A" w:rsidRPr="00D66F0A" w:rsidTr="00D66F0A">
        <w:trPr>
          <w:trHeight w:val="300"/>
        </w:trPr>
        <w:tc>
          <w:tcPr>
            <w:tcW w:w="2837" w:type="pct"/>
            <w:tcBorders>
              <w:top w:val="nil"/>
              <w:left w:val="nil"/>
              <w:bottom w:val="nil"/>
              <w:right w:val="nil"/>
            </w:tcBorders>
            <w:shd w:val="clear" w:color="auto" w:fill="auto"/>
            <w:vAlign w:val="center"/>
            <w:hideMark/>
          </w:tcPr>
          <w:p w:rsidR="00D66F0A" w:rsidRPr="00D66F0A" w:rsidRDefault="00D66F0A" w:rsidP="00D66F0A">
            <w:pPr>
              <w:rPr>
                <w:rFonts w:eastAsia="Times New Roman" w:cs="Calibri"/>
                <w:color w:val="000000"/>
                <w:sz w:val="20"/>
                <w:szCs w:val="20"/>
                <w:lang w:eastAsia="it-IT"/>
              </w:rPr>
            </w:pPr>
            <w:r w:rsidRPr="00D66F0A">
              <w:rPr>
                <w:rFonts w:eastAsia="Times New Roman" w:cs="Calibri"/>
                <w:color w:val="000000"/>
                <w:sz w:val="20"/>
                <w:szCs w:val="20"/>
                <w:lang w:eastAsia="it-IT"/>
              </w:rPr>
              <w:t>Piemonte</w:t>
            </w:r>
          </w:p>
        </w:tc>
        <w:tc>
          <w:tcPr>
            <w:tcW w:w="1003" w:type="pct"/>
            <w:tcBorders>
              <w:top w:val="nil"/>
              <w:left w:val="nil"/>
              <w:bottom w:val="nil"/>
              <w:right w:val="nil"/>
            </w:tcBorders>
            <w:shd w:val="clear" w:color="auto" w:fill="auto"/>
            <w:noWrap/>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0.8</w:t>
            </w:r>
          </w:p>
        </w:tc>
        <w:tc>
          <w:tcPr>
            <w:tcW w:w="1159" w:type="pct"/>
            <w:tcBorders>
              <w:top w:val="nil"/>
              <w:left w:val="nil"/>
              <w:bottom w:val="nil"/>
              <w:right w:val="nil"/>
            </w:tcBorders>
            <w:shd w:val="clear" w:color="auto" w:fill="auto"/>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0.7</w:t>
            </w:r>
          </w:p>
        </w:tc>
      </w:tr>
      <w:tr w:rsidR="00D66F0A" w:rsidRPr="00D66F0A" w:rsidTr="00D66F0A">
        <w:trPr>
          <w:trHeight w:val="300"/>
        </w:trPr>
        <w:tc>
          <w:tcPr>
            <w:tcW w:w="2837" w:type="pct"/>
            <w:tcBorders>
              <w:top w:val="nil"/>
              <w:left w:val="nil"/>
              <w:bottom w:val="nil"/>
              <w:right w:val="nil"/>
            </w:tcBorders>
            <w:shd w:val="clear" w:color="auto" w:fill="auto"/>
            <w:vAlign w:val="center"/>
            <w:hideMark/>
          </w:tcPr>
          <w:p w:rsidR="00D66F0A" w:rsidRPr="00D66F0A" w:rsidRDefault="00D66F0A" w:rsidP="00D66F0A">
            <w:pPr>
              <w:rPr>
                <w:rFonts w:eastAsia="Times New Roman" w:cs="Calibri"/>
                <w:color w:val="000000"/>
                <w:sz w:val="20"/>
                <w:szCs w:val="20"/>
                <w:lang w:eastAsia="it-IT"/>
              </w:rPr>
            </w:pPr>
            <w:r w:rsidRPr="00D66F0A">
              <w:rPr>
                <w:rFonts w:eastAsia="Times New Roman" w:cs="Calibri"/>
                <w:color w:val="000000"/>
                <w:sz w:val="20"/>
                <w:szCs w:val="20"/>
                <w:lang w:eastAsia="it-IT"/>
              </w:rPr>
              <w:t>Valle d'Aosta</w:t>
            </w:r>
          </w:p>
        </w:tc>
        <w:tc>
          <w:tcPr>
            <w:tcW w:w="1003" w:type="pct"/>
            <w:tcBorders>
              <w:top w:val="nil"/>
              <w:left w:val="nil"/>
              <w:bottom w:val="nil"/>
              <w:right w:val="nil"/>
            </w:tcBorders>
            <w:shd w:val="clear" w:color="auto" w:fill="auto"/>
            <w:noWrap/>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0.9</w:t>
            </w:r>
          </w:p>
        </w:tc>
        <w:tc>
          <w:tcPr>
            <w:tcW w:w="1159" w:type="pct"/>
            <w:tcBorders>
              <w:top w:val="nil"/>
              <w:left w:val="nil"/>
              <w:bottom w:val="nil"/>
              <w:right w:val="nil"/>
            </w:tcBorders>
            <w:shd w:val="clear" w:color="auto" w:fill="auto"/>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0.8</w:t>
            </w:r>
          </w:p>
        </w:tc>
      </w:tr>
      <w:tr w:rsidR="00D66F0A" w:rsidRPr="00D66F0A" w:rsidTr="00D66F0A">
        <w:trPr>
          <w:trHeight w:val="300"/>
        </w:trPr>
        <w:tc>
          <w:tcPr>
            <w:tcW w:w="2837" w:type="pct"/>
            <w:tcBorders>
              <w:top w:val="nil"/>
              <w:left w:val="nil"/>
              <w:bottom w:val="nil"/>
              <w:right w:val="nil"/>
            </w:tcBorders>
            <w:shd w:val="clear" w:color="auto" w:fill="auto"/>
            <w:vAlign w:val="center"/>
            <w:hideMark/>
          </w:tcPr>
          <w:p w:rsidR="00D66F0A" w:rsidRPr="00D66F0A" w:rsidRDefault="00D66F0A" w:rsidP="00D66F0A">
            <w:pPr>
              <w:rPr>
                <w:rFonts w:eastAsia="Times New Roman" w:cs="Calibri"/>
                <w:color w:val="000000"/>
                <w:sz w:val="20"/>
                <w:szCs w:val="20"/>
                <w:lang w:eastAsia="it-IT"/>
              </w:rPr>
            </w:pPr>
            <w:r w:rsidRPr="00D66F0A">
              <w:rPr>
                <w:rFonts w:eastAsia="Times New Roman" w:cs="Calibri"/>
                <w:color w:val="000000"/>
                <w:sz w:val="20"/>
                <w:szCs w:val="20"/>
                <w:lang w:eastAsia="it-IT"/>
              </w:rPr>
              <w:t xml:space="preserve">Lombardia </w:t>
            </w:r>
          </w:p>
        </w:tc>
        <w:tc>
          <w:tcPr>
            <w:tcW w:w="1003" w:type="pct"/>
            <w:tcBorders>
              <w:top w:val="nil"/>
              <w:left w:val="nil"/>
              <w:bottom w:val="nil"/>
              <w:right w:val="nil"/>
            </w:tcBorders>
            <w:shd w:val="clear" w:color="auto" w:fill="auto"/>
            <w:noWrap/>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7.2</w:t>
            </w:r>
          </w:p>
        </w:tc>
        <w:tc>
          <w:tcPr>
            <w:tcW w:w="1159" w:type="pct"/>
            <w:tcBorders>
              <w:top w:val="nil"/>
              <w:left w:val="nil"/>
              <w:bottom w:val="nil"/>
              <w:right w:val="nil"/>
            </w:tcBorders>
            <w:shd w:val="clear" w:color="auto" w:fill="auto"/>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6.9</w:t>
            </w:r>
          </w:p>
        </w:tc>
      </w:tr>
      <w:tr w:rsidR="00D66F0A" w:rsidRPr="00D66F0A" w:rsidTr="00D66F0A">
        <w:trPr>
          <w:trHeight w:val="315"/>
        </w:trPr>
        <w:tc>
          <w:tcPr>
            <w:tcW w:w="2837" w:type="pct"/>
            <w:tcBorders>
              <w:top w:val="nil"/>
              <w:left w:val="nil"/>
              <w:bottom w:val="single" w:sz="8" w:space="0" w:color="auto"/>
              <w:right w:val="nil"/>
            </w:tcBorders>
            <w:shd w:val="clear" w:color="auto" w:fill="auto"/>
            <w:vAlign w:val="center"/>
            <w:hideMark/>
          </w:tcPr>
          <w:p w:rsidR="00D66F0A" w:rsidRPr="00D66F0A" w:rsidRDefault="00D66F0A" w:rsidP="00D66F0A">
            <w:pPr>
              <w:rPr>
                <w:rFonts w:eastAsia="Times New Roman" w:cs="Calibri"/>
                <w:color w:val="000000"/>
                <w:sz w:val="20"/>
                <w:szCs w:val="20"/>
                <w:lang w:eastAsia="it-IT"/>
              </w:rPr>
            </w:pPr>
            <w:r w:rsidRPr="00D66F0A">
              <w:rPr>
                <w:rFonts w:eastAsia="Times New Roman" w:cs="Calibri"/>
                <w:color w:val="000000"/>
                <w:sz w:val="20"/>
                <w:szCs w:val="20"/>
                <w:lang w:eastAsia="it-IT"/>
              </w:rPr>
              <w:t>Liguria</w:t>
            </w:r>
          </w:p>
        </w:tc>
        <w:tc>
          <w:tcPr>
            <w:tcW w:w="1003" w:type="pct"/>
            <w:tcBorders>
              <w:top w:val="nil"/>
              <w:left w:val="nil"/>
              <w:bottom w:val="single" w:sz="8" w:space="0" w:color="auto"/>
              <w:right w:val="nil"/>
            </w:tcBorders>
            <w:shd w:val="clear" w:color="auto" w:fill="auto"/>
            <w:noWrap/>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0.3</w:t>
            </w:r>
          </w:p>
        </w:tc>
        <w:tc>
          <w:tcPr>
            <w:tcW w:w="1159" w:type="pct"/>
            <w:tcBorders>
              <w:top w:val="nil"/>
              <w:left w:val="nil"/>
              <w:bottom w:val="single" w:sz="8" w:space="0" w:color="auto"/>
              <w:right w:val="nil"/>
            </w:tcBorders>
            <w:shd w:val="clear" w:color="auto" w:fill="auto"/>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0.4</w:t>
            </w:r>
          </w:p>
        </w:tc>
      </w:tr>
      <w:tr w:rsidR="00D66F0A" w:rsidRPr="00D66F0A" w:rsidTr="00D66F0A">
        <w:trPr>
          <w:trHeight w:val="315"/>
        </w:trPr>
        <w:tc>
          <w:tcPr>
            <w:tcW w:w="2837" w:type="pct"/>
            <w:tcBorders>
              <w:top w:val="nil"/>
              <w:left w:val="nil"/>
              <w:bottom w:val="single" w:sz="8" w:space="0" w:color="auto"/>
              <w:right w:val="nil"/>
            </w:tcBorders>
            <w:shd w:val="clear" w:color="auto" w:fill="auto"/>
            <w:noWrap/>
            <w:vAlign w:val="center"/>
            <w:hideMark/>
          </w:tcPr>
          <w:p w:rsidR="00D66F0A" w:rsidRPr="00D66F0A" w:rsidRDefault="00D66F0A" w:rsidP="00D66F0A">
            <w:pPr>
              <w:rPr>
                <w:rFonts w:eastAsia="Times New Roman" w:cs="Calibri"/>
                <w:color w:val="000000"/>
                <w:sz w:val="20"/>
                <w:szCs w:val="20"/>
                <w:lang w:eastAsia="it-IT"/>
              </w:rPr>
            </w:pPr>
            <w:r w:rsidRPr="00D66F0A">
              <w:rPr>
                <w:rFonts w:eastAsia="Times New Roman" w:cs="Calibri"/>
                <w:color w:val="000000"/>
                <w:sz w:val="20"/>
                <w:szCs w:val="20"/>
                <w:lang w:eastAsia="it-IT"/>
              </w:rPr>
              <w:t>North East</w:t>
            </w:r>
          </w:p>
        </w:tc>
        <w:tc>
          <w:tcPr>
            <w:tcW w:w="1003" w:type="pct"/>
            <w:tcBorders>
              <w:top w:val="nil"/>
              <w:left w:val="nil"/>
              <w:bottom w:val="single" w:sz="8" w:space="0" w:color="auto"/>
              <w:right w:val="nil"/>
            </w:tcBorders>
            <w:shd w:val="clear" w:color="auto" w:fill="auto"/>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50.5</w:t>
            </w:r>
          </w:p>
        </w:tc>
        <w:tc>
          <w:tcPr>
            <w:tcW w:w="1159" w:type="pct"/>
            <w:tcBorders>
              <w:top w:val="nil"/>
              <w:left w:val="nil"/>
              <w:bottom w:val="single" w:sz="8" w:space="0" w:color="auto"/>
              <w:right w:val="nil"/>
            </w:tcBorders>
            <w:shd w:val="clear" w:color="auto" w:fill="auto"/>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49.1</w:t>
            </w:r>
          </w:p>
        </w:tc>
      </w:tr>
      <w:tr w:rsidR="00D66F0A" w:rsidRPr="00D66F0A" w:rsidTr="00D66F0A">
        <w:trPr>
          <w:trHeight w:val="300"/>
        </w:trPr>
        <w:tc>
          <w:tcPr>
            <w:tcW w:w="2837" w:type="pct"/>
            <w:tcBorders>
              <w:top w:val="nil"/>
              <w:left w:val="nil"/>
              <w:bottom w:val="nil"/>
              <w:right w:val="nil"/>
            </w:tcBorders>
            <w:shd w:val="clear" w:color="auto" w:fill="auto"/>
            <w:vAlign w:val="center"/>
            <w:hideMark/>
          </w:tcPr>
          <w:p w:rsidR="00D66F0A" w:rsidRPr="00D66F0A" w:rsidRDefault="00D66F0A" w:rsidP="00D66F0A">
            <w:pPr>
              <w:rPr>
                <w:rFonts w:eastAsia="Times New Roman" w:cs="Calibri"/>
                <w:color w:val="000000"/>
                <w:sz w:val="20"/>
                <w:szCs w:val="20"/>
                <w:lang w:eastAsia="it-IT"/>
              </w:rPr>
            </w:pPr>
            <w:r w:rsidRPr="00D66F0A">
              <w:rPr>
                <w:rFonts w:eastAsia="Times New Roman" w:cs="Calibri"/>
                <w:color w:val="000000"/>
                <w:sz w:val="20"/>
                <w:szCs w:val="20"/>
                <w:lang w:eastAsia="it-IT"/>
              </w:rPr>
              <w:t>Trentino Alto Adige</w:t>
            </w:r>
          </w:p>
        </w:tc>
        <w:tc>
          <w:tcPr>
            <w:tcW w:w="1003" w:type="pct"/>
            <w:tcBorders>
              <w:top w:val="nil"/>
              <w:left w:val="nil"/>
              <w:bottom w:val="nil"/>
              <w:right w:val="nil"/>
            </w:tcBorders>
            <w:shd w:val="clear" w:color="auto" w:fill="auto"/>
            <w:noWrap/>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1</w:t>
            </w:r>
            <w:r w:rsidR="00C33F57">
              <w:rPr>
                <w:rFonts w:eastAsia="Times New Roman" w:cs="Calibri"/>
                <w:color w:val="000000"/>
                <w:sz w:val="20"/>
                <w:szCs w:val="20"/>
                <w:lang w:eastAsia="it-IT"/>
              </w:rPr>
              <w:t>.0</w:t>
            </w:r>
          </w:p>
        </w:tc>
        <w:tc>
          <w:tcPr>
            <w:tcW w:w="1159" w:type="pct"/>
            <w:tcBorders>
              <w:top w:val="nil"/>
              <w:left w:val="nil"/>
              <w:bottom w:val="nil"/>
              <w:right w:val="nil"/>
            </w:tcBorders>
            <w:shd w:val="clear" w:color="auto" w:fill="auto"/>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0.3</w:t>
            </w:r>
          </w:p>
        </w:tc>
      </w:tr>
      <w:tr w:rsidR="00D66F0A" w:rsidRPr="00D66F0A" w:rsidTr="00D66F0A">
        <w:trPr>
          <w:trHeight w:val="300"/>
        </w:trPr>
        <w:tc>
          <w:tcPr>
            <w:tcW w:w="2837" w:type="pct"/>
            <w:tcBorders>
              <w:top w:val="nil"/>
              <w:left w:val="nil"/>
              <w:bottom w:val="nil"/>
              <w:right w:val="nil"/>
            </w:tcBorders>
            <w:shd w:val="clear" w:color="auto" w:fill="auto"/>
            <w:vAlign w:val="center"/>
            <w:hideMark/>
          </w:tcPr>
          <w:p w:rsidR="00D66F0A" w:rsidRPr="00D66F0A" w:rsidRDefault="00CF36FD" w:rsidP="00D66F0A">
            <w:pPr>
              <w:rPr>
                <w:rFonts w:eastAsia="Times New Roman" w:cs="Calibri"/>
                <w:color w:val="000000"/>
                <w:sz w:val="20"/>
                <w:szCs w:val="20"/>
                <w:lang w:eastAsia="it-IT"/>
              </w:rPr>
            </w:pPr>
            <w:r>
              <w:rPr>
                <w:rFonts w:eastAsia="Times New Roman" w:cs="Calibri"/>
                <w:color w:val="000000"/>
                <w:sz w:val="20"/>
                <w:szCs w:val="20"/>
                <w:lang w:eastAsia="it-IT"/>
              </w:rPr>
              <w:t>Veneto</w:t>
            </w:r>
          </w:p>
        </w:tc>
        <w:tc>
          <w:tcPr>
            <w:tcW w:w="1003" w:type="pct"/>
            <w:tcBorders>
              <w:top w:val="nil"/>
              <w:left w:val="nil"/>
              <w:bottom w:val="nil"/>
              <w:right w:val="nil"/>
            </w:tcBorders>
            <w:shd w:val="clear" w:color="auto" w:fill="auto"/>
            <w:noWrap/>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34.7</w:t>
            </w:r>
          </w:p>
        </w:tc>
        <w:tc>
          <w:tcPr>
            <w:tcW w:w="1159" w:type="pct"/>
            <w:tcBorders>
              <w:top w:val="nil"/>
              <w:left w:val="nil"/>
              <w:bottom w:val="nil"/>
              <w:right w:val="nil"/>
            </w:tcBorders>
            <w:shd w:val="clear" w:color="auto" w:fill="auto"/>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34.8</w:t>
            </w:r>
          </w:p>
        </w:tc>
      </w:tr>
      <w:tr w:rsidR="00D66F0A" w:rsidRPr="00D66F0A" w:rsidTr="00D66F0A">
        <w:trPr>
          <w:trHeight w:val="300"/>
        </w:trPr>
        <w:tc>
          <w:tcPr>
            <w:tcW w:w="2837" w:type="pct"/>
            <w:tcBorders>
              <w:top w:val="nil"/>
              <w:left w:val="nil"/>
              <w:bottom w:val="nil"/>
              <w:right w:val="nil"/>
            </w:tcBorders>
            <w:shd w:val="clear" w:color="auto" w:fill="auto"/>
            <w:vAlign w:val="center"/>
            <w:hideMark/>
          </w:tcPr>
          <w:p w:rsidR="00D66F0A" w:rsidRPr="00D66F0A" w:rsidRDefault="00CF36FD" w:rsidP="00D66F0A">
            <w:pPr>
              <w:rPr>
                <w:rFonts w:eastAsia="Times New Roman" w:cs="Calibri"/>
                <w:color w:val="000000"/>
                <w:sz w:val="20"/>
                <w:szCs w:val="20"/>
                <w:lang w:eastAsia="it-IT"/>
              </w:rPr>
            </w:pPr>
            <w:r>
              <w:rPr>
                <w:rFonts w:eastAsia="Times New Roman" w:cs="Calibri"/>
                <w:color w:val="000000"/>
                <w:sz w:val="20"/>
                <w:szCs w:val="20"/>
                <w:lang w:eastAsia="it-IT"/>
              </w:rPr>
              <w:t xml:space="preserve">Friuli Venezia Giulia </w:t>
            </w:r>
          </w:p>
        </w:tc>
        <w:tc>
          <w:tcPr>
            <w:tcW w:w="1003" w:type="pct"/>
            <w:tcBorders>
              <w:top w:val="nil"/>
              <w:left w:val="nil"/>
              <w:bottom w:val="nil"/>
              <w:right w:val="nil"/>
            </w:tcBorders>
            <w:shd w:val="clear" w:color="auto" w:fill="auto"/>
            <w:noWrap/>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0.2</w:t>
            </w:r>
          </w:p>
        </w:tc>
        <w:tc>
          <w:tcPr>
            <w:tcW w:w="1159" w:type="pct"/>
            <w:tcBorders>
              <w:top w:val="nil"/>
              <w:left w:val="nil"/>
              <w:bottom w:val="nil"/>
              <w:right w:val="nil"/>
            </w:tcBorders>
            <w:shd w:val="clear" w:color="auto" w:fill="auto"/>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0</w:t>
            </w:r>
          </w:p>
        </w:tc>
      </w:tr>
      <w:tr w:rsidR="00D66F0A" w:rsidRPr="00D66F0A" w:rsidTr="00D66F0A">
        <w:trPr>
          <w:trHeight w:val="315"/>
        </w:trPr>
        <w:tc>
          <w:tcPr>
            <w:tcW w:w="2837" w:type="pct"/>
            <w:tcBorders>
              <w:top w:val="nil"/>
              <w:left w:val="nil"/>
              <w:bottom w:val="single" w:sz="8" w:space="0" w:color="auto"/>
              <w:right w:val="nil"/>
            </w:tcBorders>
            <w:shd w:val="clear" w:color="auto" w:fill="auto"/>
            <w:vAlign w:val="center"/>
            <w:hideMark/>
          </w:tcPr>
          <w:p w:rsidR="00D66F0A" w:rsidRPr="00D66F0A" w:rsidRDefault="00CF36FD" w:rsidP="00D66F0A">
            <w:pPr>
              <w:rPr>
                <w:rFonts w:eastAsia="Times New Roman" w:cs="Calibri"/>
                <w:color w:val="000000"/>
                <w:sz w:val="20"/>
                <w:szCs w:val="20"/>
                <w:lang w:eastAsia="it-IT"/>
              </w:rPr>
            </w:pPr>
            <w:r>
              <w:rPr>
                <w:rFonts w:eastAsia="Times New Roman" w:cs="Calibri"/>
                <w:color w:val="000000"/>
                <w:sz w:val="20"/>
                <w:szCs w:val="20"/>
                <w:lang w:eastAsia="it-IT"/>
              </w:rPr>
              <w:t xml:space="preserve">Emilia Romagna </w:t>
            </w:r>
          </w:p>
        </w:tc>
        <w:tc>
          <w:tcPr>
            <w:tcW w:w="1003" w:type="pct"/>
            <w:tcBorders>
              <w:top w:val="nil"/>
              <w:left w:val="nil"/>
              <w:bottom w:val="single" w:sz="8" w:space="0" w:color="auto"/>
              <w:right w:val="nil"/>
            </w:tcBorders>
            <w:shd w:val="clear" w:color="auto" w:fill="auto"/>
            <w:noWrap/>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14.6</w:t>
            </w:r>
          </w:p>
        </w:tc>
        <w:tc>
          <w:tcPr>
            <w:tcW w:w="1159" w:type="pct"/>
            <w:tcBorders>
              <w:top w:val="nil"/>
              <w:left w:val="nil"/>
              <w:bottom w:val="single" w:sz="8" w:space="0" w:color="auto"/>
              <w:right w:val="nil"/>
            </w:tcBorders>
            <w:shd w:val="clear" w:color="auto" w:fill="auto"/>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13.9</w:t>
            </w:r>
          </w:p>
        </w:tc>
      </w:tr>
      <w:tr w:rsidR="00D66F0A" w:rsidRPr="00D66F0A" w:rsidTr="00D66F0A">
        <w:trPr>
          <w:trHeight w:val="315"/>
        </w:trPr>
        <w:tc>
          <w:tcPr>
            <w:tcW w:w="2837" w:type="pct"/>
            <w:tcBorders>
              <w:top w:val="nil"/>
              <w:left w:val="nil"/>
              <w:bottom w:val="single" w:sz="8" w:space="0" w:color="auto"/>
              <w:right w:val="nil"/>
            </w:tcBorders>
            <w:shd w:val="clear" w:color="auto" w:fill="auto"/>
            <w:vAlign w:val="center"/>
            <w:hideMark/>
          </w:tcPr>
          <w:p w:rsidR="00D66F0A" w:rsidRPr="00D66F0A" w:rsidRDefault="00D66F0A" w:rsidP="00D66F0A">
            <w:pPr>
              <w:rPr>
                <w:rFonts w:eastAsia="Times New Roman" w:cs="Calibri"/>
                <w:color w:val="000000"/>
                <w:sz w:val="20"/>
                <w:szCs w:val="20"/>
                <w:lang w:eastAsia="it-IT"/>
              </w:rPr>
            </w:pPr>
            <w:r w:rsidRPr="00D66F0A">
              <w:rPr>
                <w:rFonts w:eastAsia="Times New Roman" w:cs="Calibri"/>
                <w:color w:val="000000"/>
                <w:sz w:val="20"/>
                <w:szCs w:val="20"/>
                <w:lang w:eastAsia="it-IT"/>
              </w:rPr>
              <w:t>Central Italy</w:t>
            </w:r>
          </w:p>
        </w:tc>
        <w:tc>
          <w:tcPr>
            <w:tcW w:w="1003" w:type="pct"/>
            <w:tcBorders>
              <w:top w:val="nil"/>
              <w:left w:val="nil"/>
              <w:bottom w:val="single" w:sz="8" w:space="0" w:color="auto"/>
              <w:right w:val="nil"/>
            </w:tcBorders>
            <w:shd w:val="clear" w:color="auto" w:fill="auto"/>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16.4</w:t>
            </w:r>
          </w:p>
        </w:tc>
        <w:tc>
          <w:tcPr>
            <w:tcW w:w="1159" w:type="pct"/>
            <w:tcBorders>
              <w:top w:val="nil"/>
              <w:left w:val="nil"/>
              <w:bottom w:val="single" w:sz="8" w:space="0" w:color="auto"/>
              <w:right w:val="nil"/>
            </w:tcBorders>
            <w:shd w:val="clear" w:color="auto" w:fill="auto"/>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15.4</w:t>
            </w:r>
          </w:p>
        </w:tc>
      </w:tr>
      <w:tr w:rsidR="00D66F0A" w:rsidRPr="00D66F0A" w:rsidTr="00D66F0A">
        <w:trPr>
          <w:trHeight w:val="300"/>
        </w:trPr>
        <w:tc>
          <w:tcPr>
            <w:tcW w:w="2837" w:type="pct"/>
            <w:tcBorders>
              <w:top w:val="nil"/>
              <w:left w:val="nil"/>
              <w:bottom w:val="nil"/>
              <w:right w:val="nil"/>
            </w:tcBorders>
            <w:shd w:val="clear" w:color="auto" w:fill="auto"/>
            <w:vAlign w:val="center"/>
            <w:hideMark/>
          </w:tcPr>
          <w:p w:rsidR="00D66F0A" w:rsidRPr="00D66F0A" w:rsidRDefault="00CF36FD" w:rsidP="00D66F0A">
            <w:pPr>
              <w:rPr>
                <w:rFonts w:eastAsia="Times New Roman" w:cs="Calibri"/>
                <w:color w:val="000000"/>
                <w:sz w:val="20"/>
                <w:szCs w:val="20"/>
                <w:lang w:eastAsia="it-IT"/>
              </w:rPr>
            </w:pPr>
            <w:r>
              <w:rPr>
                <w:rFonts w:eastAsia="Times New Roman" w:cs="Calibri"/>
                <w:color w:val="000000"/>
                <w:sz w:val="20"/>
                <w:szCs w:val="20"/>
                <w:lang w:eastAsia="it-IT"/>
              </w:rPr>
              <w:t xml:space="preserve">Toscana </w:t>
            </w:r>
          </w:p>
        </w:tc>
        <w:tc>
          <w:tcPr>
            <w:tcW w:w="1003" w:type="pct"/>
            <w:tcBorders>
              <w:top w:val="nil"/>
              <w:left w:val="nil"/>
              <w:bottom w:val="nil"/>
              <w:right w:val="nil"/>
            </w:tcBorders>
            <w:shd w:val="clear" w:color="auto" w:fill="auto"/>
            <w:noWrap/>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11.1</w:t>
            </w:r>
          </w:p>
        </w:tc>
        <w:tc>
          <w:tcPr>
            <w:tcW w:w="1159" w:type="pct"/>
            <w:tcBorders>
              <w:top w:val="nil"/>
              <w:left w:val="nil"/>
              <w:bottom w:val="nil"/>
              <w:right w:val="nil"/>
            </w:tcBorders>
            <w:shd w:val="clear" w:color="auto" w:fill="auto"/>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10.8</w:t>
            </w:r>
          </w:p>
        </w:tc>
      </w:tr>
      <w:tr w:rsidR="00D66F0A" w:rsidRPr="00D66F0A" w:rsidTr="00D66F0A">
        <w:trPr>
          <w:trHeight w:val="300"/>
        </w:trPr>
        <w:tc>
          <w:tcPr>
            <w:tcW w:w="2837" w:type="pct"/>
            <w:tcBorders>
              <w:top w:val="nil"/>
              <w:left w:val="nil"/>
              <w:bottom w:val="nil"/>
              <w:right w:val="nil"/>
            </w:tcBorders>
            <w:shd w:val="clear" w:color="auto" w:fill="auto"/>
            <w:vAlign w:val="center"/>
            <w:hideMark/>
          </w:tcPr>
          <w:p w:rsidR="00D66F0A" w:rsidRPr="00D66F0A" w:rsidRDefault="00CF36FD" w:rsidP="00D66F0A">
            <w:pPr>
              <w:rPr>
                <w:rFonts w:eastAsia="Times New Roman" w:cs="Calibri"/>
                <w:color w:val="000000"/>
                <w:sz w:val="20"/>
                <w:szCs w:val="20"/>
                <w:lang w:eastAsia="it-IT"/>
              </w:rPr>
            </w:pPr>
            <w:r>
              <w:rPr>
                <w:rFonts w:eastAsia="Times New Roman" w:cs="Calibri"/>
                <w:color w:val="000000"/>
                <w:sz w:val="20"/>
                <w:szCs w:val="20"/>
                <w:lang w:eastAsia="it-IT"/>
              </w:rPr>
              <w:t xml:space="preserve">Umbria </w:t>
            </w:r>
          </w:p>
        </w:tc>
        <w:tc>
          <w:tcPr>
            <w:tcW w:w="1003" w:type="pct"/>
            <w:tcBorders>
              <w:top w:val="nil"/>
              <w:left w:val="nil"/>
              <w:bottom w:val="nil"/>
              <w:right w:val="nil"/>
            </w:tcBorders>
            <w:shd w:val="clear" w:color="auto" w:fill="auto"/>
            <w:noWrap/>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0.5</w:t>
            </w:r>
          </w:p>
        </w:tc>
        <w:tc>
          <w:tcPr>
            <w:tcW w:w="1159" w:type="pct"/>
            <w:tcBorders>
              <w:top w:val="nil"/>
              <w:left w:val="nil"/>
              <w:bottom w:val="nil"/>
              <w:right w:val="nil"/>
            </w:tcBorders>
            <w:shd w:val="clear" w:color="auto" w:fill="auto"/>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0.5</w:t>
            </w:r>
          </w:p>
        </w:tc>
      </w:tr>
      <w:tr w:rsidR="00D66F0A" w:rsidRPr="00D66F0A" w:rsidTr="00D66F0A">
        <w:trPr>
          <w:trHeight w:val="300"/>
        </w:trPr>
        <w:tc>
          <w:tcPr>
            <w:tcW w:w="2837" w:type="pct"/>
            <w:tcBorders>
              <w:top w:val="nil"/>
              <w:left w:val="nil"/>
              <w:bottom w:val="nil"/>
              <w:right w:val="nil"/>
            </w:tcBorders>
            <w:shd w:val="clear" w:color="auto" w:fill="auto"/>
            <w:vAlign w:val="center"/>
            <w:hideMark/>
          </w:tcPr>
          <w:p w:rsidR="00D66F0A" w:rsidRPr="00D66F0A" w:rsidRDefault="00CF36FD" w:rsidP="00D66F0A">
            <w:pPr>
              <w:rPr>
                <w:rFonts w:eastAsia="Times New Roman" w:cs="Calibri"/>
                <w:color w:val="000000"/>
                <w:sz w:val="20"/>
                <w:szCs w:val="20"/>
                <w:lang w:eastAsia="it-IT"/>
              </w:rPr>
            </w:pPr>
            <w:r>
              <w:rPr>
                <w:rFonts w:eastAsia="Times New Roman" w:cs="Calibri"/>
                <w:color w:val="000000"/>
                <w:sz w:val="20"/>
                <w:szCs w:val="20"/>
                <w:lang w:eastAsia="it-IT"/>
              </w:rPr>
              <w:t xml:space="preserve">Marche </w:t>
            </w:r>
          </w:p>
        </w:tc>
        <w:tc>
          <w:tcPr>
            <w:tcW w:w="1003" w:type="pct"/>
            <w:tcBorders>
              <w:top w:val="nil"/>
              <w:left w:val="nil"/>
              <w:bottom w:val="nil"/>
              <w:right w:val="nil"/>
            </w:tcBorders>
            <w:shd w:val="clear" w:color="auto" w:fill="auto"/>
            <w:noWrap/>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0.9</w:t>
            </w:r>
          </w:p>
        </w:tc>
        <w:tc>
          <w:tcPr>
            <w:tcW w:w="1159" w:type="pct"/>
            <w:tcBorders>
              <w:top w:val="nil"/>
              <w:left w:val="nil"/>
              <w:bottom w:val="nil"/>
              <w:right w:val="nil"/>
            </w:tcBorders>
            <w:shd w:val="clear" w:color="auto" w:fill="auto"/>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0.7</w:t>
            </w:r>
          </w:p>
        </w:tc>
      </w:tr>
      <w:tr w:rsidR="00D66F0A" w:rsidRPr="00D66F0A" w:rsidTr="00D66F0A">
        <w:trPr>
          <w:trHeight w:val="315"/>
        </w:trPr>
        <w:tc>
          <w:tcPr>
            <w:tcW w:w="2837" w:type="pct"/>
            <w:tcBorders>
              <w:top w:val="nil"/>
              <w:left w:val="nil"/>
              <w:bottom w:val="dashed" w:sz="8" w:space="0" w:color="1F497D"/>
              <w:right w:val="nil"/>
            </w:tcBorders>
            <w:shd w:val="clear" w:color="auto" w:fill="auto"/>
            <w:vAlign w:val="center"/>
            <w:hideMark/>
          </w:tcPr>
          <w:p w:rsidR="00D66F0A" w:rsidRPr="00D66F0A" w:rsidRDefault="00CF36FD" w:rsidP="00D66F0A">
            <w:pPr>
              <w:rPr>
                <w:rFonts w:eastAsia="Times New Roman" w:cs="Calibri"/>
                <w:color w:val="000000"/>
                <w:sz w:val="20"/>
                <w:szCs w:val="20"/>
                <w:lang w:eastAsia="it-IT"/>
              </w:rPr>
            </w:pPr>
            <w:r>
              <w:rPr>
                <w:rFonts w:eastAsia="Times New Roman" w:cs="Calibri"/>
                <w:color w:val="000000"/>
                <w:sz w:val="20"/>
                <w:szCs w:val="20"/>
                <w:lang w:eastAsia="it-IT"/>
              </w:rPr>
              <w:t>Lazio</w:t>
            </w:r>
          </w:p>
        </w:tc>
        <w:tc>
          <w:tcPr>
            <w:tcW w:w="1003" w:type="pct"/>
            <w:tcBorders>
              <w:top w:val="nil"/>
              <w:left w:val="nil"/>
              <w:bottom w:val="dashed" w:sz="8" w:space="0" w:color="1F497D"/>
              <w:right w:val="nil"/>
            </w:tcBorders>
            <w:shd w:val="clear" w:color="auto" w:fill="auto"/>
            <w:noWrap/>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3.9</w:t>
            </w:r>
          </w:p>
        </w:tc>
        <w:tc>
          <w:tcPr>
            <w:tcW w:w="1159" w:type="pct"/>
            <w:tcBorders>
              <w:top w:val="nil"/>
              <w:left w:val="nil"/>
              <w:bottom w:val="dashed" w:sz="8" w:space="0" w:color="1F497D"/>
              <w:right w:val="nil"/>
            </w:tcBorders>
            <w:shd w:val="clear" w:color="auto" w:fill="auto"/>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3.3</w:t>
            </w:r>
          </w:p>
        </w:tc>
      </w:tr>
      <w:tr w:rsidR="00D66F0A" w:rsidRPr="00D66F0A" w:rsidTr="00D66F0A">
        <w:trPr>
          <w:trHeight w:val="315"/>
        </w:trPr>
        <w:tc>
          <w:tcPr>
            <w:tcW w:w="2837" w:type="pct"/>
            <w:tcBorders>
              <w:top w:val="nil"/>
              <w:left w:val="dashed" w:sz="8" w:space="0" w:color="1F497D"/>
              <w:bottom w:val="dashed" w:sz="8" w:space="0" w:color="1F497D"/>
              <w:right w:val="nil"/>
            </w:tcBorders>
            <w:shd w:val="clear" w:color="auto" w:fill="auto"/>
            <w:vAlign w:val="center"/>
            <w:hideMark/>
          </w:tcPr>
          <w:p w:rsidR="00D66F0A" w:rsidRPr="00D66F0A" w:rsidRDefault="00D66F0A" w:rsidP="00D66F0A">
            <w:pPr>
              <w:rPr>
                <w:rFonts w:eastAsia="Times New Roman" w:cs="Calibri"/>
                <w:b/>
                <w:bCs/>
                <w:color w:val="1F497D"/>
                <w:sz w:val="20"/>
                <w:szCs w:val="20"/>
                <w:lang w:eastAsia="it-IT"/>
              </w:rPr>
            </w:pPr>
            <w:r w:rsidRPr="00D66F0A">
              <w:rPr>
                <w:rFonts w:eastAsia="Times New Roman" w:cs="Calibri"/>
                <w:b/>
                <w:bCs/>
                <w:color w:val="1F497D"/>
                <w:sz w:val="20"/>
                <w:szCs w:val="20"/>
                <w:lang w:eastAsia="it-IT"/>
              </w:rPr>
              <w:t>Southern Italy</w:t>
            </w:r>
          </w:p>
        </w:tc>
        <w:tc>
          <w:tcPr>
            <w:tcW w:w="1003" w:type="pct"/>
            <w:tcBorders>
              <w:top w:val="nil"/>
              <w:left w:val="nil"/>
              <w:bottom w:val="dashed" w:sz="8" w:space="0" w:color="1F497D"/>
              <w:right w:val="nil"/>
            </w:tcBorders>
            <w:shd w:val="clear" w:color="auto" w:fill="auto"/>
            <w:vAlign w:val="center"/>
            <w:hideMark/>
          </w:tcPr>
          <w:p w:rsidR="00D66F0A" w:rsidRPr="00D66F0A" w:rsidRDefault="00D66F0A" w:rsidP="00D66F0A">
            <w:pPr>
              <w:jc w:val="right"/>
              <w:rPr>
                <w:rFonts w:eastAsia="Times New Roman" w:cs="Calibri"/>
                <w:b/>
                <w:bCs/>
                <w:color w:val="1F497D"/>
                <w:sz w:val="20"/>
                <w:szCs w:val="20"/>
                <w:lang w:eastAsia="it-IT"/>
              </w:rPr>
            </w:pPr>
            <w:r w:rsidRPr="00D66F0A">
              <w:rPr>
                <w:rFonts w:eastAsia="Times New Roman" w:cs="Calibri"/>
                <w:b/>
                <w:bCs/>
                <w:color w:val="1F497D"/>
                <w:sz w:val="20"/>
                <w:szCs w:val="20"/>
                <w:lang w:eastAsia="it-IT"/>
              </w:rPr>
              <w:t>24</w:t>
            </w:r>
            <w:r w:rsidR="00C33F57">
              <w:rPr>
                <w:rFonts w:eastAsia="Times New Roman" w:cs="Calibri"/>
                <w:b/>
                <w:bCs/>
                <w:color w:val="1F497D"/>
                <w:sz w:val="20"/>
                <w:szCs w:val="20"/>
                <w:lang w:eastAsia="it-IT"/>
              </w:rPr>
              <w:t>.0</w:t>
            </w:r>
          </w:p>
        </w:tc>
        <w:tc>
          <w:tcPr>
            <w:tcW w:w="1159" w:type="pct"/>
            <w:tcBorders>
              <w:top w:val="nil"/>
              <w:left w:val="nil"/>
              <w:bottom w:val="dashed" w:sz="8" w:space="0" w:color="1F497D"/>
              <w:right w:val="dashed" w:sz="8" w:space="0" w:color="1F497D"/>
            </w:tcBorders>
            <w:shd w:val="clear" w:color="auto" w:fill="auto"/>
            <w:vAlign w:val="center"/>
            <w:hideMark/>
          </w:tcPr>
          <w:p w:rsidR="00D66F0A" w:rsidRPr="00D66F0A" w:rsidRDefault="00D66F0A" w:rsidP="00D66F0A">
            <w:pPr>
              <w:jc w:val="right"/>
              <w:rPr>
                <w:rFonts w:eastAsia="Times New Roman" w:cs="Calibri"/>
                <w:b/>
                <w:bCs/>
                <w:color w:val="1F497D"/>
                <w:sz w:val="20"/>
                <w:szCs w:val="20"/>
                <w:lang w:eastAsia="it-IT"/>
              </w:rPr>
            </w:pPr>
            <w:r w:rsidRPr="00D66F0A">
              <w:rPr>
                <w:rFonts w:eastAsia="Times New Roman" w:cs="Calibri"/>
                <w:b/>
                <w:bCs/>
                <w:color w:val="1F497D"/>
                <w:sz w:val="20"/>
                <w:szCs w:val="20"/>
                <w:lang w:eastAsia="it-IT"/>
              </w:rPr>
              <w:t>26.7</w:t>
            </w:r>
          </w:p>
        </w:tc>
      </w:tr>
      <w:tr w:rsidR="00D66F0A" w:rsidRPr="00D66F0A" w:rsidTr="00D66F0A">
        <w:trPr>
          <w:trHeight w:val="300"/>
        </w:trPr>
        <w:tc>
          <w:tcPr>
            <w:tcW w:w="2837" w:type="pct"/>
            <w:tcBorders>
              <w:top w:val="nil"/>
              <w:left w:val="nil"/>
              <w:bottom w:val="nil"/>
              <w:right w:val="nil"/>
            </w:tcBorders>
            <w:shd w:val="clear" w:color="auto" w:fill="auto"/>
            <w:vAlign w:val="center"/>
            <w:hideMark/>
          </w:tcPr>
          <w:p w:rsidR="00D66F0A" w:rsidRPr="00D66F0A" w:rsidRDefault="00CF36FD" w:rsidP="00D66F0A">
            <w:pPr>
              <w:rPr>
                <w:rFonts w:eastAsia="Times New Roman" w:cs="Calibri"/>
                <w:color w:val="000000"/>
                <w:sz w:val="20"/>
                <w:szCs w:val="20"/>
                <w:lang w:eastAsia="it-IT"/>
              </w:rPr>
            </w:pPr>
            <w:r>
              <w:rPr>
                <w:rFonts w:eastAsia="Times New Roman" w:cs="Calibri"/>
                <w:color w:val="000000"/>
                <w:sz w:val="20"/>
                <w:szCs w:val="20"/>
                <w:lang w:eastAsia="it-IT"/>
              </w:rPr>
              <w:t xml:space="preserve">Abruzzo </w:t>
            </w:r>
          </w:p>
        </w:tc>
        <w:tc>
          <w:tcPr>
            <w:tcW w:w="1003" w:type="pct"/>
            <w:tcBorders>
              <w:top w:val="nil"/>
              <w:left w:val="nil"/>
              <w:bottom w:val="nil"/>
              <w:right w:val="nil"/>
            </w:tcBorders>
            <w:shd w:val="clear" w:color="auto" w:fill="auto"/>
            <w:noWrap/>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1.4</w:t>
            </w:r>
          </w:p>
        </w:tc>
        <w:tc>
          <w:tcPr>
            <w:tcW w:w="1159" w:type="pct"/>
            <w:tcBorders>
              <w:top w:val="nil"/>
              <w:left w:val="nil"/>
              <w:bottom w:val="nil"/>
              <w:right w:val="nil"/>
            </w:tcBorders>
            <w:shd w:val="clear" w:color="auto" w:fill="auto"/>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1.4</w:t>
            </w:r>
          </w:p>
        </w:tc>
      </w:tr>
      <w:tr w:rsidR="00D66F0A" w:rsidRPr="00D66F0A" w:rsidTr="00D66F0A">
        <w:trPr>
          <w:trHeight w:val="300"/>
        </w:trPr>
        <w:tc>
          <w:tcPr>
            <w:tcW w:w="2837" w:type="pct"/>
            <w:tcBorders>
              <w:top w:val="nil"/>
              <w:left w:val="nil"/>
              <w:bottom w:val="nil"/>
              <w:right w:val="nil"/>
            </w:tcBorders>
            <w:shd w:val="clear" w:color="auto" w:fill="auto"/>
            <w:vAlign w:val="center"/>
            <w:hideMark/>
          </w:tcPr>
          <w:p w:rsidR="00D66F0A" w:rsidRPr="00D66F0A" w:rsidRDefault="00CF36FD" w:rsidP="00CF36FD">
            <w:pPr>
              <w:rPr>
                <w:rFonts w:eastAsia="Times New Roman" w:cs="Calibri"/>
                <w:color w:val="000000"/>
                <w:sz w:val="20"/>
                <w:szCs w:val="20"/>
                <w:lang w:eastAsia="it-IT"/>
              </w:rPr>
            </w:pPr>
            <w:r>
              <w:rPr>
                <w:rFonts w:eastAsia="Times New Roman" w:cs="Calibri"/>
                <w:color w:val="000000"/>
                <w:sz w:val="20"/>
                <w:szCs w:val="20"/>
                <w:lang w:eastAsia="it-IT"/>
              </w:rPr>
              <w:t>Campania</w:t>
            </w:r>
          </w:p>
        </w:tc>
        <w:tc>
          <w:tcPr>
            <w:tcW w:w="1003" w:type="pct"/>
            <w:tcBorders>
              <w:top w:val="nil"/>
              <w:left w:val="nil"/>
              <w:bottom w:val="nil"/>
              <w:right w:val="nil"/>
            </w:tcBorders>
            <w:shd w:val="clear" w:color="auto" w:fill="auto"/>
            <w:noWrap/>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16</w:t>
            </w:r>
            <w:r w:rsidR="00C33F57">
              <w:rPr>
                <w:rFonts w:eastAsia="Times New Roman" w:cs="Calibri"/>
                <w:color w:val="000000"/>
                <w:sz w:val="20"/>
                <w:szCs w:val="20"/>
                <w:lang w:eastAsia="it-IT"/>
              </w:rPr>
              <w:t>.0</w:t>
            </w:r>
          </w:p>
        </w:tc>
        <w:tc>
          <w:tcPr>
            <w:tcW w:w="1159" w:type="pct"/>
            <w:tcBorders>
              <w:top w:val="nil"/>
              <w:left w:val="nil"/>
              <w:bottom w:val="nil"/>
              <w:right w:val="nil"/>
            </w:tcBorders>
            <w:shd w:val="clear" w:color="auto" w:fill="auto"/>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17.5</w:t>
            </w:r>
          </w:p>
        </w:tc>
      </w:tr>
      <w:tr w:rsidR="00D66F0A" w:rsidRPr="00D66F0A" w:rsidTr="00D66F0A">
        <w:trPr>
          <w:trHeight w:val="300"/>
        </w:trPr>
        <w:tc>
          <w:tcPr>
            <w:tcW w:w="2837" w:type="pct"/>
            <w:tcBorders>
              <w:top w:val="nil"/>
              <w:left w:val="nil"/>
              <w:bottom w:val="nil"/>
              <w:right w:val="nil"/>
            </w:tcBorders>
            <w:shd w:val="clear" w:color="auto" w:fill="auto"/>
            <w:vAlign w:val="center"/>
            <w:hideMark/>
          </w:tcPr>
          <w:p w:rsidR="00D66F0A" w:rsidRPr="00D66F0A" w:rsidRDefault="00D66F0A" w:rsidP="00CF36FD">
            <w:pPr>
              <w:rPr>
                <w:rFonts w:eastAsia="Times New Roman" w:cs="Calibri"/>
                <w:color w:val="000000"/>
                <w:sz w:val="20"/>
                <w:szCs w:val="20"/>
                <w:lang w:eastAsia="it-IT"/>
              </w:rPr>
            </w:pPr>
            <w:r w:rsidRPr="00D66F0A">
              <w:rPr>
                <w:rFonts w:eastAsia="Times New Roman" w:cs="Calibri"/>
                <w:color w:val="000000"/>
                <w:sz w:val="20"/>
                <w:szCs w:val="20"/>
                <w:lang w:eastAsia="it-IT"/>
              </w:rPr>
              <w:t xml:space="preserve">Puglia </w:t>
            </w:r>
          </w:p>
        </w:tc>
        <w:tc>
          <w:tcPr>
            <w:tcW w:w="1003" w:type="pct"/>
            <w:tcBorders>
              <w:top w:val="nil"/>
              <w:left w:val="nil"/>
              <w:bottom w:val="nil"/>
              <w:right w:val="nil"/>
            </w:tcBorders>
            <w:shd w:val="clear" w:color="auto" w:fill="auto"/>
            <w:noWrap/>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1.7</w:t>
            </w:r>
          </w:p>
        </w:tc>
        <w:tc>
          <w:tcPr>
            <w:tcW w:w="1159" w:type="pct"/>
            <w:tcBorders>
              <w:top w:val="nil"/>
              <w:left w:val="nil"/>
              <w:bottom w:val="nil"/>
              <w:right w:val="nil"/>
            </w:tcBorders>
            <w:shd w:val="clear" w:color="auto" w:fill="auto"/>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2.1</w:t>
            </w:r>
          </w:p>
        </w:tc>
      </w:tr>
      <w:tr w:rsidR="00D66F0A" w:rsidRPr="00D66F0A" w:rsidTr="00D66F0A">
        <w:trPr>
          <w:trHeight w:val="300"/>
        </w:trPr>
        <w:tc>
          <w:tcPr>
            <w:tcW w:w="2837" w:type="pct"/>
            <w:tcBorders>
              <w:top w:val="nil"/>
              <w:left w:val="nil"/>
              <w:bottom w:val="nil"/>
              <w:right w:val="nil"/>
            </w:tcBorders>
            <w:shd w:val="clear" w:color="auto" w:fill="auto"/>
            <w:vAlign w:val="center"/>
            <w:hideMark/>
          </w:tcPr>
          <w:p w:rsidR="00D66F0A" w:rsidRPr="00D66F0A" w:rsidRDefault="00D66F0A" w:rsidP="00CF36FD">
            <w:pPr>
              <w:rPr>
                <w:rFonts w:eastAsia="Times New Roman" w:cs="Calibri"/>
                <w:color w:val="000000"/>
                <w:sz w:val="20"/>
                <w:szCs w:val="20"/>
                <w:lang w:eastAsia="it-IT"/>
              </w:rPr>
            </w:pPr>
            <w:r w:rsidRPr="00D66F0A">
              <w:rPr>
                <w:rFonts w:eastAsia="Times New Roman" w:cs="Calibri"/>
                <w:color w:val="000000"/>
                <w:sz w:val="20"/>
                <w:szCs w:val="20"/>
                <w:lang w:eastAsia="it-IT"/>
              </w:rPr>
              <w:t xml:space="preserve">Basilicata </w:t>
            </w:r>
          </w:p>
        </w:tc>
        <w:tc>
          <w:tcPr>
            <w:tcW w:w="1003" w:type="pct"/>
            <w:tcBorders>
              <w:top w:val="nil"/>
              <w:left w:val="nil"/>
              <w:bottom w:val="nil"/>
              <w:right w:val="nil"/>
            </w:tcBorders>
            <w:shd w:val="clear" w:color="auto" w:fill="auto"/>
            <w:noWrap/>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0.2</w:t>
            </w:r>
          </w:p>
        </w:tc>
        <w:tc>
          <w:tcPr>
            <w:tcW w:w="1159" w:type="pct"/>
            <w:tcBorders>
              <w:top w:val="nil"/>
              <w:left w:val="nil"/>
              <w:bottom w:val="nil"/>
              <w:right w:val="nil"/>
            </w:tcBorders>
            <w:shd w:val="clear" w:color="auto" w:fill="auto"/>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0.2</w:t>
            </w:r>
          </w:p>
        </w:tc>
      </w:tr>
      <w:tr w:rsidR="00D66F0A" w:rsidRPr="00D66F0A" w:rsidTr="00D66F0A">
        <w:trPr>
          <w:trHeight w:val="300"/>
        </w:trPr>
        <w:tc>
          <w:tcPr>
            <w:tcW w:w="2837" w:type="pct"/>
            <w:tcBorders>
              <w:top w:val="nil"/>
              <w:left w:val="nil"/>
              <w:bottom w:val="nil"/>
              <w:right w:val="nil"/>
            </w:tcBorders>
            <w:shd w:val="clear" w:color="auto" w:fill="auto"/>
            <w:vAlign w:val="center"/>
            <w:hideMark/>
          </w:tcPr>
          <w:p w:rsidR="00D66F0A" w:rsidRPr="00D66F0A" w:rsidRDefault="00CF36FD" w:rsidP="00CF36FD">
            <w:pPr>
              <w:rPr>
                <w:rFonts w:eastAsia="Times New Roman" w:cs="Calibri"/>
                <w:color w:val="000000"/>
                <w:sz w:val="20"/>
                <w:szCs w:val="20"/>
                <w:lang w:eastAsia="it-IT"/>
              </w:rPr>
            </w:pPr>
            <w:r>
              <w:rPr>
                <w:rFonts w:eastAsia="Times New Roman" w:cs="Calibri"/>
                <w:color w:val="000000"/>
                <w:sz w:val="20"/>
                <w:szCs w:val="20"/>
                <w:lang w:eastAsia="it-IT"/>
              </w:rPr>
              <w:t>Calabria</w:t>
            </w:r>
          </w:p>
        </w:tc>
        <w:tc>
          <w:tcPr>
            <w:tcW w:w="1003" w:type="pct"/>
            <w:tcBorders>
              <w:top w:val="nil"/>
              <w:left w:val="nil"/>
              <w:bottom w:val="nil"/>
              <w:right w:val="nil"/>
            </w:tcBorders>
            <w:shd w:val="clear" w:color="auto" w:fill="auto"/>
            <w:noWrap/>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1.5</w:t>
            </w:r>
          </w:p>
        </w:tc>
        <w:tc>
          <w:tcPr>
            <w:tcW w:w="1159" w:type="pct"/>
            <w:tcBorders>
              <w:top w:val="nil"/>
              <w:left w:val="nil"/>
              <w:bottom w:val="nil"/>
              <w:right w:val="nil"/>
            </w:tcBorders>
            <w:shd w:val="clear" w:color="auto" w:fill="auto"/>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1.8</w:t>
            </w:r>
          </w:p>
        </w:tc>
      </w:tr>
      <w:tr w:rsidR="00D66F0A" w:rsidRPr="00D66F0A" w:rsidTr="00D66F0A">
        <w:trPr>
          <w:trHeight w:val="300"/>
        </w:trPr>
        <w:tc>
          <w:tcPr>
            <w:tcW w:w="2837" w:type="pct"/>
            <w:tcBorders>
              <w:top w:val="nil"/>
              <w:left w:val="nil"/>
              <w:bottom w:val="nil"/>
              <w:right w:val="nil"/>
            </w:tcBorders>
            <w:shd w:val="clear" w:color="auto" w:fill="auto"/>
            <w:vAlign w:val="center"/>
            <w:hideMark/>
          </w:tcPr>
          <w:p w:rsidR="00D66F0A" w:rsidRPr="00D66F0A" w:rsidRDefault="00D66F0A" w:rsidP="00CF36FD">
            <w:pPr>
              <w:rPr>
                <w:rFonts w:eastAsia="Times New Roman" w:cs="Calibri"/>
                <w:color w:val="000000"/>
                <w:sz w:val="20"/>
                <w:szCs w:val="20"/>
                <w:lang w:eastAsia="it-IT"/>
              </w:rPr>
            </w:pPr>
            <w:r w:rsidRPr="00D66F0A">
              <w:rPr>
                <w:rFonts w:eastAsia="Times New Roman" w:cs="Calibri"/>
                <w:color w:val="000000"/>
                <w:sz w:val="20"/>
                <w:szCs w:val="20"/>
                <w:lang w:eastAsia="it-IT"/>
              </w:rPr>
              <w:t xml:space="preserve">Sicilia </w:t>
            </w:r>
          </w:p>
        </w:tc>
        <w:tc>
          <w:tcPr>
            <w:tcW w:w="1003" w:type="pct"/>
            <w:tcBorders>
              <w:top w:val="nil"/>
              <w:left w:val="nil"/>
              <w:bottom w:val="nil"/>
              <w:right w:val="nil"/>
            </w:tcBorders>
            <w:shd w:val="clear" w:color="auto" w:fill="auto"/>
            <w:noWrap/>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2</w:t>
            </w:r>
            <w:r w:rsidR="00C33F57">
              <w:rPr>
                <w:rFonts w:eastAsia="Times New Roman" w:cs="Calibri"/>
                <w:color w:val="000000"/>
                <w:sz w:val="20"/>
                <w:szCs w:val="20"/>
                <w:lang w:eastAsia="it-IT"/>
              </w:rPr>
              <w:t>.0</w:t>
            </w:r>
          </w:p>
        </w:tc>
        <w:tc>
          <w:tcPr>
            <w:tcW w:w="1159" w:type="pct"/>
            <w:tcBorders>
              <w:top w:val="nil"/>
              <w:left w:val="nil"/>
              <w:bottom w:val="nil"/>
              <w:right w:val="nil"/>
            </w:tcBorders>
            <w:shd w:val="clear" w:color="auto" w:fill="auto"/>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1.4</w:t>
            </w:r>
          </w:p>
        </w:tc>
      </w:tr>
      <w:tr w:rsidR="00D66F0A" w:rsidRPr="00D66F0A" w:rsidTr="00D66F0A">
        <w:trPr>
          <w:trHeight w:val="315"/>
        </w:trPr>
        <w:tc>
          <w:tcPr>
            <w:tcW w:w="2837" w:type="pct"/>
            <w:tcBorders>
              <w:top w:val="nil"/>
              <w:left w:val="nil"/>
              <w:bottom w:val="single" w:sz="8" w:space="0" w:color="auto"/>
              <w:right w:val="nil"/>
            </w:tcBorders>
            <w:shd w:val="clear" w:color="auto" w:fill="auto"/>
            <w:vAlign w:val="center"/>
            <w:hideMark/>
          </w:tcPr>
          <w:p w:rsidR="00D66F0A" w:rsidRPr="00D66F0A" w:rsidRDefault="00D66F0A" w:rsidP="00CF36FD">
            <w:pPr>
              <w:rPr>
                <w:rFonts w:eastAsia="Times New Roman" w:cs="Calibri"/>
                <w:color w:val="000000"/>
                <w:sz w:val="20"/>
                <w:szCs w:val="20"/>
                <w:lang w:eastAsia="it-IT"/>
              </w:rPr>
            </w:pPr>
            <w:r w:rsidRPr="00D66F0A">
              <w:rPr>
                <w:rFonts w:eastAsia="Times New Roman" w:cs="Calibri"/>
                <w:color w:val="000000"/>
                <w:sz w:val="20"/>
                <w:szCs w:val="20"/>
                <w:lang w:eastAsia="it-IT"/>
              </w:rPr>
              <w:t xml:space="preserve">Sardegna </w:t>
            </w:r>
          </w:p>
        </w:tc>
        <w:tc>
          <w:tcPr>
            <w:tcW w:w="1003" w:type="pct"/>
            <w:tcBorders>
              <w:top w:val="nil"/>
              <w:left w:val="nil"/>
              <w:bottom w:val="single" w:sz="8" w:space="0" w:color="auto"/>
              <w:right w:val="nil"/>
            </w:tcBorders>
            <w:shd w:val="clear" w:color="auto" w:fill="auto"/>
            <w:noWrap/>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1.3</w:t>
            </w:r>
          </w:p>
        </w:tc>
        <w:tc>
          <w:tcPr>
            <w:tcW w:w="1159" w:type="pct"/>
            <w:tcBorders>
              <w:top w:val="nil"/>
              <w:left w:val="nil"/>
              <w:bottom w:val="single" w:sz="8" w:space="0" w:color="auto"/>
              <w:right w:val="nil"/>
            </w:tcBorders>
            <w:shd w:val="clear" w:color="auto" w:fill="auto"/>
            <w:vAlign w:val="center"/>
            <w:hideMark/>
          </w:tcPr>
          <w:p w:rsidR="00D66F0A" w:rsidRPr="00D66F0A" w:rsidRDefault="00D66F0A" w:rsidP="00D66F0A">
            <w:pPr>
              <w:jc w:val="right"/>
              <w:rPr>
                <w:rFonts w:eastAsia="Times New Roman" w:cs="Calibri"/>
                <w:color w:val="000000"/>
                <w:sz w:val="20"/>
                <w:szCs w:val="20"/>
                <w:lang w:eastAsia="it-IT"/>
              </w:rPr>
            </w:pPr>
            <w:r w:rsidRPr="00D66F0A">
              <w:rPr>
                <w:rFonts w:eastAsia="Times New Roman" w:cs="Calibri"/>
                <w:color w:val="000000"/>
                <w:sz w:val="20"/>
                <w:szCs w:val="20"/>
                <w:lang w:eastAsia="it-IT"/>
              </w:rPr>
              <w:t>2.4</w:t>
            </w:r>
          </w:p>
        </w:tc>
      </w:tr>
      <w:tr w:rsidR="00D66F0A" w:rsidRPr="00D66F0A" w:rsidTr="00D66F0A">
        <w:trPr>
          <w:trHeight w:val="315"/>
        </w:trPr>
        <w:tc>
          <w:tcPr>
            <w:tcW w:w="2837" w:type="pct"/>
            <w:tcBorders>
              <w:top w:val="nil"/>
              <w:left w:val="nil"/>
              <w:bottom w:val="single" w:sz="8" w:space="0" w:color="auto"/>
              <w:right w:val="nil"/>
            </w:tcBorders>
            <w:shd w:val="clear" w:color="auto" w:fill="auto"/>
            <w:vAlign w:val="center"/>
            <w:hideMark/>
          </w:tcPr>
          <w:p w:rsidR="00D66F0A" w:rsidRPr="00D66F0A" w:rsidRDefault="00D66F0A" w:rsidP="00D66F0A">
            <w:pPr>
              <w:rPr>
                <w:rFonts w:eastAsia="Times New Roman" w:cs="Calibri"/>
                <w:b/>
                <w:bCs/>
                <w:color w:val="000000"/>
                <w:sz w:val="20"/>
                <w:szCs w:val="20"/>
                <w:lang w:eastAsia="it-IT"/>
              </w:rPr>
            </w:pPr>
            <w:r w:rsidRPr="00D66F0A">
              <w:rPr>
                <w:rFonts w:eastAsia="Times New Roman" w:cs="Calibri"/>
                <w:b/>
                <w:bCs/>
                <w:color w:val="000000"/>
                <w:sz w:val="20"/>
                <w:szCs w:val="20"/>
                <w:lang w:eastAsia="it-IT"/>
              </w:rPr>
              <w:t>Italy</w:t>
            </w:r>
          </w:p>
        </w:tc>
        <w:tc>
          <w:tcPr>
            <w:tcW w:w="1003" w:type="pct"/>
            <w:tcBorders>
              <w:top w:val="nil"/>
              <w:left w:val="nil"/>
              <w:bottom w:val="single" w:sz="8" w:space="0" w:color="auto"/>
              <w:right w:val="nil"/>
            </w:tcBorders>
            <w:shd w:val="clear" w:color="auto" w:fill="auto"/>
            <w:noWrap/>
            <w:vAlign w:val="center"/>
            <w:hideMark/>
          </w:tcPr>
          <w:p w:rsidR="00D66F0A" w:rsidRPr="00D66F0A" w:rsidRDefault="00D66F0A" w:rsidP="00D66F0A">
            <w:pPr>
              <w:jc w:val="right"/>
              <w:rPr>
                <w:rFonts w:eastAsia="Times New Roman" w:cs="Calibri"/>
                <w:b/>
                <w:bCs/>
                <w:color w:val="000000"/>
                <w:sz w:val="20"/>
                <w:szCs w:val="20"/>
                <w:lang w:eastAsia="it-IT"/>
              </w:rPr>
            </w:pPr>
            <w:r w:rsidRPr="00D66F0A">
              <w:rPr>
                <w:rFonts w:eastAsia="Times New Roman" w:cs="Calibri"/>
                <w:b/>
                <w:bCs/>
                <w:color w:val="000000"/>
                <w:sz w:val="20"/>
                <w:szCs w:val="20"/>
                <w:lang w:eastAsia="it-IT"/>
              </w:rPr>
              <w:t>100</w:t>
            </w:r>
          </w:p>
        </w:tc>
        <w:tc>
          <w:tcPr>
            <w:tcW w:w="1159" w:type="pct"/>
            <w:tcBorders>
              <w:top w:val="nil"/>
              <w:left w:val="nil"/>
              <w:bottom w:val="single" w:sz="8" w:space="0" w:color="auto"/>
              <w:right w:val="nil"/>
            </w:tcBorders>
            <w:shd w:val="clear" w:color="auto" w:fill="auto"/>
            <w:vAlign w:val="center"/>
            <w:hideMark/>
          </w:tcPr>
          <w:p w:rsidR="00D66F0A" w:rsidRPr="00D66F0A" w:rsidRDefault="00D66F0A" w:rsidP="00D66F0A">
            <w:pPr>
              <w:jc w:val="right"/>
              <w:rPr>
                <w:rFonts w:eastAsia="Times New Roman" w:cs="Calibri"/>
                <w:b/>
                <w:bCs/>
                <w:color w:val="000000"/>
                <w:sz w:val="20"/>
                <w:szCs w:val="20"/>
                <w:lang w:eastAsia="it-IT"/>
              </w:rPr>
            </w:pPr>
            <w:r w:rsidRPr="00D66F0A">
              <w:rPr>
                <w:rFonts w:eastAsia="Times New Roman" w:cs="Calibri"/>
                <w:b/>
                <w:bCs/>
                <w:color w:val="000000"/>
                <w:sz w:val="20"/>
                <w:szCs w:val="20"/>
                <w:lang w:eastAsia="it-IT"/>
              </w:rPr>
              <w:t>100</w:t>
            </w:r>
          </w:p>
        </w:tc>
      </w:tr>
    </w:tbl>
    <w:p w:rsidR="00806A03" w:rsidRPr="00D4748D" w:rsidRDefault="00806A03" w:rsidP="00806A03">
      <w:pPr>
        <w:spacing w:after="120"/>
        <w:rPr>
          <w:rFonts w:asciiTheme="majorHAnsi" w:hAnsiTheme="majorHAnsi"/>
          <w:sz w:val="18"/>
          <w:szCs w:val="18"/>
          <w:lang w:val="en-US"/>
        </w:rPr>
      </w:pPr>
      <w:r w:rsidRPr="00FF7177">
        <w:rPr>
          <w:rFonts w:asciiTheme="majorHAnsi" w:hAnsiTheme="majorHAnsi"/>
          <w:sz w:val="18"/>
          <w:szCs w:val="18"/>
          <w:lang w:val="en-US"/>
        </w:rPr>
        <w:t>Source: Confindustria and SRM elaborations on company budgets</w:t>
      </w:r>
    </w:p>
    <w:p w:rsidR="00D4748D" w:rsidRPr="00806A03" w:rsidRDefault="00D4748D" w:rsidP="00432E86">
      <w:pPr>
        <w:shd w:val="clear" w:color="auto" w:fill="FFFFFF"/>
        <w:spacing w:after="120"/>
        <w:rPr>
          <w:rFonts w:ascii="HelveticaLTStd-Cond" w:hAnsi="HelveticaLTStd-Cond" w:cs="HelveticaLTStd-Cond"/>
          <w:sz w:val="18"/>
          <w:szCs w:val="18"/>
          <w:lang w:val="en-US" w:eastAsia="it-IT"/>
        </w:rPr>
      </w:pPr>
    </w:p>
    <w:p w:rsidR="00D4748D" w:rsidRPr="00806A03" w:rsidRDefault="00D4748D" w:rsidP="00432E86">
      <w:pPr>
        <w:shd w:val="clear" w:color="auto" w:fill="FFFFFF"/>
        <w:spacing w:after="120"/>
        <w:rPr>
          <w:rFonts w:ascii="HelveticaLTStd-Cond" w:hAnsi="HelveticaLTStd-Cond" w:cs="HelveticaLTStd-Cond"/>
          <w:sz w:val="18"/>
          <w:szCs w:val="18"/>
          <w:lang w:val="en-US" w:eastAsia="it-IT"/>
        </w:rPr>
      </w:pPr>
    </w:p>
    <w:p w:rsidR="00D4748D" w:rsidRPr="00806A03" w:rsidRDefault="00D4748D" w:rsidP="00432E86">
      <w:pPr>
        <w:shd w:val="clear" w:color="auto" w:fill="FFFFFF"/>
        <w:spacing w:after="120"/>
        <w:rPr>
          <w:rFonts w:ascii="HelveticaLTStd-Cond" w:hAnsi="HelveticaLTStd-Cond" w:cs="HelveticaLTStd-Cond"/>
          <w:sz w:val="18"/>
          <w:szCs w:val="18"/>
          <w:lang w:val="en-US" w:eastAsia="it-IT"/>
        </w:rPr>
      </w:pPr>
    </w:p>
    <w:p w:rsidR="00D4748D" w:rsidRPr="00806A03" w:rsidRDefault="00D4748D" w:rsidP="00432E86">
      <w:pPr>
        <w:shd w:val="clear" w:color="auto" w:fill="FFFFFF"/>
        <w:spacing w:after="120"/>
        <w:rPr>
          <w:rFonts w:ascii="HelveticaLTStd-Cond" w:hAnsi="HelveticaLTStd-Cond" w:cs="HelveticaLTStd-Cond"/>
          <w:sz w:val="18"/>
          <w:szCs w:val="18"/>
          <w:lang w:val="en-US" w:eastAsia="it-IT"/>
        </w:rPr>
      </w:pPr>
    </w:p>
    <w:p w:rsidR="009950C9" w:rsidRPr="009950C9" w:rsidRDefault="009950C9" w:rsidP="00432E86">
      <w:pPr>
        <w:shd w:val="clear" w:color="auto" w:fill="FFFFFF"/>
        <w:spacing w:after="120"/>
        <w:rPr>
          <w:rFonts w:asciiTheme="majorHAnsi" w:hAnsiTheme="majorHAnsi"/>
          <w:b/>
        </w:rPr>
      </w:pPr>
      <w:proofErr w:type="spellStart"/>
      <w:r w:rsidRPr="009950C9">
        <w:rPr>
          <w:rFonts w:asciiTheme="majorHAnsi" w:hAnsiTheme="majorHAnsi"/>
          <w:b/>
        </w:rPr>
        <w:t>Regional</w:t>
      </w:r>
      <w:proofErr w:type="spellEnd"/>
      <w:r w:rsidRPr="009950C9">
        <w:rPr>
          <w:rFonts w:asciiTheme="majorHAnsi" w:hAnsiTheme="majorHAnsi"/>
          <w:b/>
        </w:rPr>
        <w:t xml:space="preserve"> </w:t>
      </w:r>
      <w:proofErr w:type="spellStart"/>
      <w:r w:rsidRPr="009950C9">
        <w:rPr>
          <w:rFonts w:asciiTheme="majorHAnsi" w:hAnsiTheme="majorHAnsi"/>
          <w:b/>
        </w:rPr>
        <w:t>Innovation</w:t>
      </w:r>
      <w:proofErr w:type="spellEnd"/>
      <w:r w:rsidRPr="009950C9">
        <w:rPr>
          <w:rFonts w:asciiTheme="majorHAnsi" w:hAnsiTheme="majorHAnsi"/>
          <w:b/>
        </w:rPr>
        <w:t xml:space="preserve"> </w:t>
      </w:r>
      <w:proofErr w:type="spellStart"/>
      <w:r w:rsidRPr="009950C9">
        <w:rPr>
          <w:rFonts w:asciiTheme="majorHAnsi" w:hAnsiTheme="majorHAnsi"/>
          <w:b/>
        </w:rPr>
        <w:t>Scoreboard</w:t>
      </w:r>
      <w:proofErr w:type="spellEnd"/>
      <w:r>
        <w:rPr>
          <w:rFonts w:asciiTheme="majorHAnsi" w:hAnsiTheme="majorHAnsi"/>
          <w:b/>
        </w:rPr>
        <w:t>, 2017</w:t>
      </w:r>
    </w:p>
    <w:tbl>
      <w:tblPr>
        <w:tblW w:w="5000" w:type="pct"/>
        <w:tblCellMar>
          <w:left w:w="70" w:type="dxa"/>
          <w:right w:w="70" w:type="dxa"/>
        </w:tblCellMar>
        <w:tblLook w:val="04A0" w:firstRow="1" w:lastRow="0" w:firstColumn="1" w:lastColumn="0" w:noHBand="0" w:noVBand="1"/>
      </w:tblPr>
      <w:tblGrid>
        <w:gridCol w:w="767"/>
        <w:gridCol w:w="3991"/>
        <w:gridCol w:w="2368"/>
        <w:gridCol w:w="2652"/>
      </w:tblGrid>
      <w:tr w:rsidR="00407E05" w:rsidRPr="00407E05" w:rsidTr="00407E05">
        <w:trPr>
          <w:trHeight w:val="300"/>
        </w:trPr>
        <w:tc>
          <w:tcPr>
            <w:tcW w:w="392" w:type="pct"/>
            <w:tcBorders>
              <w:top w:val="nil"/>
              <w:left w:val="nil"/>
              <w:bottom w:val="nil"/>
              <w:right w:val="nil"/>
            </w:tcBorders>
            <w:shd w:val="clear" w:color="000000" w:fill="0070C0"/>
            <w:noWrap/>
            <w:vAlign w:val="center"/>
            <w:hideMark/>
          </w:tcPr>
          <w:p w:rsidR="00407E05" w:rsidRPr="00407E05" w:rsidRDefault="00407E05" w:rsidP="00407E05">
            <w:pPr>
              <w:jc w:val="center"/>
              <w:rPr>
                <w:rFonts w:eastAsia="Times New Roman" w:cs="Calibri"/>
                <w:color w:val="FFFFFF"/>
                <w:lang w:eastAsia="it-IT"/>
              </w:rPr>
            </w:pPr>
            <w:r w:rsidRPr="00407E05">
              <w:rPr>
                <w:rFonts w:eastAsia="Times New Roman" w:cs="Calibri"/>
                <w:color w:val="FFFFFF"/>
                <w:lang w:eastAsia="it-IT"/>
              </w:rPr>
              <w:t> </w:t>
            </w:r>
          </w:p>
        </w:tc>
        <w:tc>
          <w:tcPr>
            <w:tcW w:w="2041" w:type="pct"/>
            <w:tcBorders>
              <w:top w:val="nil"/>
              <w:left w:val="nil"/>
              <w:bottom w:val="nil"/>
              <w:right w:val="nil"/>
            </w:tcBorders>
            <w:shd w:val="clear" w:color="000000" w:fill="0070C0"/>
            <w:noWrap/>
            <w:vAlign w:val="center"/>
            <w:hideMark/>
          </w:tcPr>
          <w:p w:rsidR="00407E05" w:rsidRPr="00407E05" w:rsidRDefault="00407E05" w:rsidP="00407E05">
            <w:pPr>
              <w:jc w:val="center"/>
              <w:rPr>
                <w:rFonts w:eastAsia="Times New Roman" w:cs="Calibri"/>
                <w:color w:val="FFFFFF"/>
                <w:lang w:eastAsia="it-IT"/>
              </w:rPr>
            </w:pPr>
            <w:r w:rsidRPr="00407E05">
              <w:rPr>
                <w:rFonts w:eastAsia="Times New Roman" w:cs="Calibri"/>
                <w:color w:val="FFFFFF"/>
                <w:lang w:eastAsia="it-IT"/>
              </w:rPr>
              <w:t> </w:t>
            </w:r>
          </w:p>
        </w:tc>
        <w:tc>
          <w:tcPr>
            <w:tcW w:w="1211" w:type="pct"/>
            <w:tcBorders>
              <w:top w:val="nil"/>
              <w:left w:val="nil"/>
              <w:bottom w:val="nil"/>
              <w:right w:val="nil"/>
            </w:tcBorders>
            <w:shd w:val="clear" w:color="000000" w:fill="0070C0"/>
            <w:noWrap/>
            <w:vAlign w:val="center"/>
            <w:hideMark/>
          </w:tcPr>
          <w:p w:rsidR="00407E05" w:rsidRPr="00407E05" w:rsidRDefault="00407E05" w:rsidP="00407E05">
            <w:pPr>
              <w:jc w:val="center"/>
              <w:rPr>
                <w:rFonts w:eastAsia="Times New Roman" w:cs="Calibri"/>
                <w:color w:val="FFFFFF"/>
                <w:lang w:eastAsia="it-IT"/>
              </w:rPr>
            </w:pPr>
            <w:r w:rsidRPr="00407E05">
              <w:rPr>
                <w:rFonts w:eastAsia="Times New Roman" w:cs="Calibri"/>
                <w:color w:val="FFFFFF"/>
                <w:lang w:eastAsia="it-IT"/>
              </w:rPr>
              <w:t>Italy= 100</w:t>
            </w:r>
          </w:p>
        </w:tc>
        <w:tc>
          <w:tcPr>
            <w:tcW w:w="1357" w:type="pct"/>
            <w:tcBorders>
              <w:top w:val="nil"/>
              <w:left w:val="nil"/>
              <w:bottom w:val="nil"/>
              <w:right w:val="nil"/>
            </w:tcBorders>
            <w:shd w:val="clear" w:color="000000" w:fill="0070C0"/>
            <w:noWrap/>
            <w:vAlign w:val="center"/>
            <w:hideMark/>
          </w:tcPr>
          <w:p w:rsidR="00407E05" w:rsidRPr="00407E05" w:rsidRDefault="00407E05" w:rsidP="00407E05">
            <w:pPr>
              <w:jc w:val="center"/>
              <w:rPr>
                <w:rFonts w:eastAsia="Times New Roman" w:cs="Calibri"/>
                <w:color w:val="FFFFFF"/>
                <w:lang w:eastAsia="it-IT"/>
              </w:rPr>
            </w:pPr>
            <w:r w:rsidRPr="00407E05">
              <w:rPr>
                <w:rFonts w:eastAsia="Times New Roman" w:cs="Calibri"/>
                <w:color w:val="FFFFFF"/>
                <w:lang w:eastAsia="it-IT"/>
              </w:rPr>
              <w:t>UE 28 = 100</w:t>
            </w:r>
          </w:p>
        </w:tc>
      </w:tr>
      <w:tr w:rsidR="00407E05" w:rsidRPr="00407E05" w:rsidTr="00407E05">
        <w:trPr>
          <w:trHeight w:val="300"/>
        </w:trPr>
        <w:tc>
          <w:tcPr>
            <w:tcW w:w="392"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1</w:t>
            </w:r>
          </w:p>
        </w:tc>
        <w:tc>
          <w:tcPr>
            <w:tcW w:w="2041" w:type="pct"/>
            <w:tcBorders>
              <w:top w:val="nil"/>
              <w:left w:val="nil"/>
              <w:bottom w:val="nil"/>
              <w:right w:val="nil"/>
            </w:tcBorders>
            <w:shd w:val="clear" w:color="auto" w:fill="auto"/>
            <w:noWrap/>
            <w:vAlign w:val="center"/>
            <w:hideMark/>
          </w:tcPr>
          <w:p w:rsidR="00407E05" w:rsidRPr="00407E05" w:rsidRDefault="00407E05" w:rsidP="00407E05">
            <w:pPr>
              <w:jc w:val="left"/>
              <w:rPr>
                <w:rFonts w:eastAsia="Times New Roman" w:cs="Calibri"/>
                <w:color w:val="000000"/>
                <w:lang w:eastAsia="it-IT"/>
              </w:rPr>
            </w:pPr>
            <w:r w:rsidRPr="00407E05">
              <w:rPr>
                <w:rFonts w:eastAsia="Times New Roman" w:cs="Calibri"/>
                <w:color w:val="000000"/>
                <w:lang w:eastAsia="it-IT"/>
              </w:rPr>
              <w:t>Friuli Venezia Giulia</w:t>
            </w:r>
          </w:p>
        </w:tc>
        <w:tc>
          <w:tcPr>
            <w:tcW w:w="1211"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119.2</w:t>
            </w:r>
          </w:p>
        </w:tc>
        <w:tc>
          <w:tcPr>
            <w:tcW w:w="1357"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87.8</w:t>
            </w:r>
          </w:p>
        </w:tc>
      </w:tr>
      <w:tr w:rsidR="00407E05" w:rsidRPr="00407E05" w:rsidTr="00407E05">
        <w:trPr>
          <w:trHeight w:val="300"/>
        </w:trPr>
        <w:tc>
          <w:tcPr>
            <w:tcW w:w="392"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2</w:t>
            </w:r>
          </w:p>
        </w:tc>
        <w:tc>
          <w:tcPr>
            <w:tcW w:w="2041" w:type="pct"/>
            <w:tcBorders>
              <w:top w:val="nil"/>
              <w:left w:val="nil"/>
              <w:bottom w:val="nil"/>
              <w:right w:val="nil"/>
            </w:tcBorders>
            <w:shd w:val="clear" w:color="auto" w:fill="auto"/>
            <w:noWrap/>
            <w:vAlign w:val="center"/>
            <w:hideMark/>
          </w:tcPr>
          <w:p w:rsidR="00407E05" w:rsidRPr="00407E05" w:rsidRDefault="00407E05" w:rsidP="00407E05">
            <w:pPr>
              <w:jc w:val="left"/>
              <w:rPr>
                <w:rFonts w:eastAsia="Times New Roman" w:cs="Calibri"/>
                <w:color w:val="000000"/>
                <w:lang w:eastAsia="it-IT"/>
              </w:rPr>
            </w:pPr>
            <w:r w:rsidRPr="00407E05">
              <w:rPr>
                <w:rFonts w:eastAsia="Times New Roman" w:cs="Calibri"/>
                <w:color w:val="000000"/>
                <w:lang w:eastAsia="it-IT"/>
              </w:rPr>
              <w:t>Emilia Romagna</w:t>
            </w:r>
          </w:p>
        </w:tc>
        <w:tc>
          <w:tcPr>
            <w:tcW w:w="1211"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108.4</w:t>
            </w:r>
          </w:p>
        </w:tc>
        <w:tc>
          <w:tcPr>
            <w:tcW w:w="1357"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79.9</w:t>
            </w:r>
          </w:p>
        </w:tc>
      </w:tr>
      <w:tr w:rsidR="00407E05" w:rsidRPr="00407E05" w:rsidTr="00407E05">
        <w:trPr>
          <w:trHeight w:val="300"/>
        </w:trPr>
        <w:tc>
          <w:tcPr>
            <w:tcW w:w="392"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3</w:t>
            </w:r>
          </w:p>
        </w:tc>
        <w:tc>
          <w:tcPr>
            <w:tcW w:w="2041" w:type="pct"/>
            <w:tcBorders>
              <w:top w:val="nil"/>
              <w:left w:val="nil"/>
              <w:bottom w:val="nil"/>
              <w:right w:val="nil"/>
            </w:tcBorders>
            <w:shd w:val="clear" w:color="auto" w:fill="auto"/>
            <w:noWrap/>
            <w:vAlign w:val="center"/>
            <w:hideMark/>
          </w:tcPr>
          <w:p w:rsidR="00407E05" w:rsidRPr="00407E05" w:rsidRDefault="00407E05" w:rsidP="00407E05">
            <w:pPr>
              <w:jc w:val="left"/>
              <w:rPr>
                <w:rFonts w:eastAsia="Times New Roman" w:cs="Calibri"/>
                <w:color w:val="000000"/>
                <w:lang w:eastAsia="it-IT"/>
              </w:rPr>
            </w:pPr>
            <w:r w:rsidRPr="00407E05">
              <w:rPr>
                <w:rFonts w:eastAsia="Times New Roman" w:cs="Calibri"/>
                <w:color w:val="000000"/>
                <w:lang w:eastAsia="it-IT"/>
              </w:rPr>
              <w:t>Piemonte</w:t>
            </w:r>
          </w:p>
        </w:tc>
        <w:tc>
          <w:tcPr>
            <w:tcW w:w="1211"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108.2</w:t>
            </w:r>
          </w:p>
        </w:tc>
        <w:tc>
          <w:tcPr>
            <w:tcW w:w="1357"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79.8</w:t>
            </w:r>
          </w:p>
        </w:tc>
      </w:tr>
      <w:tr w:rsidR="00407E05" w:rsidRPr="00407E05" w:rsidTr="00407E05">
        <w:trPr>
          <w:trHeight w:val="300"/>
        </w:trPr>
        <w:tc>
          <w:tcPr>
            <w:tcW w:w="392"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4</w:t>
            </w:r>
          </w:p>
        </w:tc>
        <w:tc>
          <w:tcPr>
            <w:tcW w:w="2041" w:type="pct"/>
            <w:tcBorders>
              <w:top w:val="nil"/>
              <w:left w:val="nil"/>
              <w:bottom w:val="nil"/>
              <w:right w:val="nil"/>
            </w:tcBorders>
            <w:shd w:val="clear" w:color="auto" w:fill="auto"/>
            <w:noWrap/>
            <w:vAlign w:val="center"/>
            <w:hideMark/>
          </w:tcPr>
          <w:p w:rsidR="00407E05" w:rsidRPr="00407E05" w:rsidRDefault="00407E05" w:rsidP="00407E05">
            <w:pPr>
              <w:jc w:val="left"/>
              <w:rPr>
                <w:rFonts w:eastAsia="Times New Roman" w:cs="Calibri"/>
                <w:color w:val="000000"/>
                <w:lang w:eastAsia="it-IT"/>
              </w:rPr>
            </w:pPr>
            <w:r w:rsidRPr="00407E05">
              <w:rPr>
                <w:rFonts w:eastAsia="Times New Roman" w:cs="Calibri"/>
                <w:color w:val="000000"/>
                <w:lang w:eastAsia="it-IT"/>
              </w:rPr>
              <w:t>Lombardia</w:t>
            </w:r>
          </w:p>
        </w:tc>
        <w:tc>
          <w:tcPr>
            <w:tcW w:w="1211"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107.6</w:t>
            </w:r>
          </w:p>
        </w:tc>
        <w:tc>
          <w:tcPr>
            <w:tcW w:w="1357"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79.6</w:t>
            </w:r>
          </w:p>
        </w:tc>
      </w:tr>
      <w:tr w:rsidR="00407E05" w:rsidRPr="00407E05" w:rsidTr="00407E05">
        <w:trPr>
          <w:trHeight w:val="300"/>
        </w:trPr>
        <w:tc>
          <w:tcPr>
            <w:tcW w:w="392"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5</w:t>
            </w:r>
          </w:p>
        </w:tc>
        <w:tc>
          <w:tcPr>
            <w:tcW w:w="2041" w:type="pct"/>
            <w:tcBorders>
              <w:top w:val="nil"/>
              <w:left w:val="nil"/>
              <w:bottom w:val="nil"/>
              <w:right w:val="nil"/>
            </w:tcBorders>
            <w:shd w:val="clear" w:color="auto" w:fill="auto"/>
            <w:noWrap/>
            <w:vAlign w:val="center"/>
            <w:hideMark/>
          </w:tcPr>
          <w:p w:rsidR="00407E05" w:rsidRPr="00407E05" w:rsidRDefault="00407E05" w:rsidP="00407E05">
            <w:pPr>
              <w:jc w:val="left"/>
              <w:rPr>
                <w:rFonts w:eastAsia="Times New Roman" w:cs="Calibri"/>
                <w:color w:val="000000"/>
                <w:lang w:eastAsia="it-IT"/>
              </w:rPr>
            </w:pPr>
            <w:r w:rsidRPr="00407E05">
              <w:rPr>
                <w:rFonts w:eastAsia="Times New Roman" w:cs="Calibri"/>
                <w:color w:val="000000"/>
                <w:lang w:eastAsia="it-IT"/>
              </w:rPr>
              <w:t>Veneto</w:t>
            </w:r>
          </w:p>
        </w:tc>
        <w:tc>
          <w:tcPr>
            <w:tcW w:w="1211"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107.7</w:t>
            </w:r>
          </w:p>
        </w:tc>
        <w:tc>
          <w:tcPr>
            <w:tcW w:w="1357"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79.4</w:t>
            </w:r>
          </w:p>
        </w:tc>
      </w:tr>
      <w:tr w:rsidR="00407E05" w:rsidRPr="00407E05" w:rsidTr="00407E05">
        <w:trPr>
          <w:trHeight w:val="300"/>
        </w:trPr>
        <w:tc>
          <w:tcPr>
            <w:tcW w:w="392"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6</w:t>
            </w:r>
          </w:p>
        </w:tc>
        <w:tc>
          <w:tcPr>
            <w:tcW w:w="2041" w:type="pct"/>
            <w:tcBorders>
              <w:top w:val="nil"/>
              <w:left w:val="nil"/>
              <w:bottom w:val="nil"/>
              <w:right w:val="nil"/>
            </w:tcBorders>
            <w:shd w:val="clear" w:color="auto" w:fill="auto"/>
            <w:noWrap/>
            <w:vAlign w:val="center"/>
            <w:hideMark/>
          </w:tcPr>
          <w:p w:rsidR="00407E05" w:rsidRPr="00407E05" w:rsidRDefault="00407E05" w:rsidP="00407E05">
            <w:pPr>
              <w:jc w:val="left"/>
              <w:rPr>
                <w:rFonts w:eastAsia="Times New Roman" w:cs="Calibri"/>
                <w:color w:val="000000"/>
                <w:lang w:eastAsia="it-IT"/>
              </w:rPr>
            </w:pPr>
            <w:r w:rsidRPr="00407E05">
              <w:rPr>
                <w:rFonts w:eastAsia="Times New Roman" w:cs="Calibri"/>
                <w:color w:val="000000"/>
                <w:lang w:eastAsia="it-IT"/>
              </w:rPr>
              <w:t>Provincia Autonoma di Trento</w:t>
            </w:r>
          </w:p>
        </w:tc>
        <w:tc>
          <w:tcPr>
            <w:tcW w:w="1211"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106.3</w:t>
            </w:r>
          </w:p>
        </w:tc>
        <w:tc>
          <w:tcPr>
            <w:tcW w:w="1357"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78.4</w:t>
            </w:r>
          </w:p>
        </w:tc>
      </w:tr>
      <w:tr w:rsidR="00407E05" w:rsidRPr="00407E05" w:rsidTr="00407E05">
        <w:trPr>
          <w:trHeight w:val="300"/>
        </w:trPr>
        <w:tc>
          <w:tcPr>
            <w:tcW w:w="392"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7</w:t>
            </w:r>
          </w:p>
        </w:tc>
        <w:tc>
          <w:tcPr>
            <w:tcW w:w="2041" w:type="pct"/>
            <w:tcBorders>
              <w:top w:val="nil"/>
              <w:left w:val="nil"/>
              <w:bottom w:val="nil"/>
              <w:right w:val="nil"/>
            </w:tcBorders>
            <w:shd w:val="clear" w:color="auto" w:fill="auto"/>
            <w:noWrap/>
            <w:vAlign w:val="center"/>
            <w:hideMark/>
          </w:tcPr>
          <w:p w:rsidR="00407E05" w:rsidRPr="00407E05" w:rsidRDefault="00407E05" w:rsidP="00407E05">
            <w:pPr>
              <w:jc w:val="left"/>
              <w:rPr>
                <w:rFonts w:eastAsia="Times New Roman" w:cs="Calibri"/>
                <w:color w:val="000000"/>
                <w:lang w:eastAsia="it-IT"/>
              </w:rPr>
            </w:pPr>
            <w:r w:rsidRPr="00407E05">
              <w:rPr>
                <w:rFonts w:eastAsia="Times New Roman" w:cs="Calibri"/>
                <w:color w:val="000000"/>
                <w:lang w:eastAsia="it-IT"/>
              </w:rPr>
              <w:t>Toscana</w:t>
            </w:r>
          </w:p>
        </w:tc>
        <w:tc>
          <w:tcPr>
            <w:tcW w:w="1211"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102.4</w:t>
            </w:r>
          </w:p>
        </w:tc>
        <w:tc>
          <w:tcPr>
            <w:tcW w:w="1357"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75.5</w:t>
            </w:r>
          </w:p>
        </w:tc>
      </w:tr>
      <w:tr w:rsidR="00407E05" w:rsidRPr="00407E05" w:rsidTr="00407E05">
        <w:trPr>
          <w:trHeight w:val="300"/>
        </w:trPr>
        <w:tc>
          <w:tcPr>
            <w:tcW w:w="392"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8</w:t>
            </w:r>
          </w:p>
        </w:tc>
        <w:tc>
          <w:tcPr>
            <w:tcW w:w="2041" w:type="pct"/>
            <w:tcBorders>
              <w:top w:val="nil"/>
              <w:left w:val="nil"/>
              <w:bottom w:val="nil"/>
              <w:right w:val="nil"/>
            </w:tcBorders>
            <w:shd w:val="clear" w:color="auto" w:fill="auto"/>
            <w:noWrap/>
            <w:vAlign w:val="center"/>
            <w:hideMark/>
          </w:tcPr>
          <w:p w:rsidR="00407E05" w:rsidRPr="00407E05" w:rsidRDefault="00407E05" w:rsidP="00407E05">
            <w:pPr>
              <w:jc w:val="left"/>
              <w:rPr>
                <w:rFonts w:eastAsia="Times New Roman" w:cs="Calibri"/>
                <w:color w:val="000000"/>
                <w:lang w:eastAsia="it-IT"/>
              </w:rPr>
            </w:pPr>
            <w:r w:rsidRPr="00407E05">
              <w:rPr>
                <w:rFonts w:eastAsia="Times New Roman" w:cs="Calibri"/>
                <w:color w:val="000000"/>
                <w:lang w:eastAsia="it-IT"/>
              </w:rPr>
              <w:t>Umbria</w:t>
            </w:r>
          </w:p>
        </w:tc>
        <w:tc>
          <w:tcPr>
            <w:tcW w:w="1211"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100.8</w:t>
            </w:r>
          </w:p>
        </w:tc>
        <w:tc>
          <w:tcPr>
            <w:tcW w:w="1357"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74.3</w:t>
            </w:r>
          </w:p>
        </w:tc>
      </w:tr>
      <w:tr w:rsidR="00407E05" w:rsidRPr="00407E05" w:rsidTr="00407E05">
        <w:trPr>
          <w:trHeight w:val="300"/>
        </w:trPr>
        <w:tc>
          <w:tcPr>
            <w:tcW w:w="392"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9</w:t>
            </w:r>
          </w:p>
        </w:tc>
        <w:tc>
          <w:tcPr>
            <w:tcW w:w="2041" w:type="pct"/>
            <w:tcBorders>
              <w:top w:val="nil"/>
              <w:left w:val="nil"/>
              <w:bottom w:val="nil"/>
              <w:right w:val="nil"/>
            </w:tcBorders>
            <w:shd w:val="clear" w:color="auto" w:fill="auto"/>
            <w:noWrap/>
            <w:vAlign w:val="center"/>
            <w:hideMark/>
          </w:tcPr>
          <w:p w:rsidR="00407E05" w:rsidRPr="00407E05" w:rsidRDefault="00407E05" w:rsidP="00407E05">
            <w:pPr>
              <w:jc w:val="left"/>
              <w:rPr>
                <w:rFonts w:eastAsia="Times New Roman" w:cs="Calibri"/>
                <w:color w:val="000000"/>
                <w:lang w:eastAsia="it-IT"/>
              </w:rPr>
            </w:pPr>
            <w:r w:rsidRPr="00407E05">
              <w:rPr>
                <w:rFonts w:eastAsia="Times New Roman" w:cs="Calibri"/>
                <w:color w:val="000000"/>
                <w:lang w:eastAsia="it-IT"/>
              </w:rPr>
              <w:t>Lazio</w:t>
            </w:r>
          </w:p>
        </w:tc>
        <w:tc>
          <w:tcPr>
            <w:tcW w:w="1211"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99.8</w:t>
            </w:r>
          </w:p>
        </w:tc>
        <w:tc>
          <w:tcPr>
            <w:tcW w:w="1357"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73.6</w:t>
            </w:r>
          </w:p>
        </w:tc>
      </w:tr>
      <w:tr w:rsidR="00407E05" w:rsidRPr="00407E05" w:rsidTr="00407E05">
        <w:trPr>
          <w:trHeight w:val="300"/>
        </w:trPr>
        <w:tc>
          <w:tcPr>
            <w:tcW w:w="392"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10</w:t>
            </w:r>
          </w:p>
        </w:tc>
        <w:tc>
          <w:tcPr>
            <w:tcW w:w="2041" w:type="pct"/>
            <w:tcBorders>
              <w:top w:val="nil"/>
              <w:left w:val="nil"/>
              <w:bottom w:val="nil"/>
              <w:right w:val="nil"/>
            </w:tcBorders>
            <w:shd w:val="clear" w:color="auto" w:fill="auto"/>
            <w:noWrap/>
            <w:vAlign w:val="center"/>
            <w:hideMark/>
          </w:tcPr>
          <w:p w:rsidR="00407E05" w:rsidRPr="00407E05" w:rsidRDefault="00407E05" w:rsidP="00407E05">
            <w:pPr>
              <w:jc w:val="left"/>
              <w:rPr>
                <w:rFonts w:eastAsia="Times New Roman" w:cs="Calibri"/>
                <w:color w:val="000000"/>
                <w:lang w:eastAsia="it-IT"/>
              </w:rPr>
            </w:pPr>
            <w:r w:rsidRPr="00407E05">
              <w:rPr>
                <w:rFonts w:eastAsia="Times New Roman" w:cs="Calibri"/>
                <w:color w:val="000000"/>
                <w:lang w:eastAsia="it-IT"/>
              </w:rPr>
              <w:t>Liguria</w:t>
            </w:r>
          </w:p>
        </w:tc>
        <w:tc>
          <w:tcPr>
            <w:tcW w:w="1211"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94.4</w:t>
            </w:r>
          </w:p>
        </w:tc>
        <w:tc>
          <w:tcPr>
            <w:tcW w:w="1357"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69.6</w:t>
            </w:r>
          </w:p>
        </w:tc>
      </w:tr>
      <w:tr w:rsidR="00407E05" w:rsidRPr="00407E05" w:rsidTr="00407E05">
        <w:trPr>
          <w:trHeight w:val="300"/>
        </w:trPr>
        <w:tc>
          <w:tcPr>
            <w:tcW w:w="392"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11</w:t>
            </w:r>
          </w:p>
        </w:tc>
        <w:tc>
          <w:tcPr>
            <w:tcW w:w="2041" w:type="pct"/>
            <w:tcBorders>
              <w:top w:val="nil"/>
              <w:left w:val="nil"/>
              <w:bottom w:val="nil"/>
              <w:right w:val="nil"/>
            </w:tcBorders>
            <w:shd w:val="clear" w:color="auto" w:fill="auto"/>
            <w:noWrap/>
            <w:vAlign w:val="center"/>
            <w:hideMark/>
          </w:tcPr>
          <w:p w:rsidR="00407E05" w:rsidRPr="00407E05" w:rsidRDefault="00407E05" w:rsidP="00407E05">
            <w:pPr>
              <w:jc w:val="left"/>
              <w:rPr>
                <w:rFonts w:eastAsia="Times New Roman" w:cs="Calibri"/>
                <w:color w:val="000000"/>
                <w:lang w:eastAsia="it-IT"/>
              </w:rPr>
            </w:pPr>
            <w:r w:rsidRPr="00407E05">
              <w:rPr>
                <w:rFonts w:eastAsia="Times New Roman" w:cs="Calibri"/>
                <w:color w:val="000000"/>
                <w:lang w:eastAsia="it-IT"/>
              </w:rPr>
              <w:t>Provincia Autonoma di Bolzano</w:t>
            </w:r>
          </w:p>
        </w:tc>
        <w:tc>
          <w:tcPr>
            <w:tcW w:w="1211"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94.2</w:t>
            </w:r>
          </w:p>
        </w:tc>
        <w:tc>
          <w:tcPr>
            <w:tcW w:w="1357"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69.4</w:t>
            </w:r>
          </w:p>
        </w:tc>
      </w:tr>
      <w:tr w:rsidR="00407E05" w:rsidRPr="00407E05" w:rsidTr="00407E05">
        <w:trPr>
          <w:trHeight w:val="300"/>
        </w:trPr>
        <w:tc>
          <w:tcPr>
            <w:tcW w:w="392"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12</w:t>
            </w:r>
          </w:p>
        </w:tc>
        <w:tc>
          <w:tcPr>
            <w:tcW w:w="2041" w:type="pct"/>
            <w:tcBorders>
              <w:top w:val="nil"/>
              <w:left w:val="nil"/>
              <w:bottom w:val="nil"/>
              <w:right w:val="nil"/>
            </w:tcBorders>
            <w:shd w:val="clear" w:color="auto" w:fill="auto"/>
            <w:noWrap/>
            <w:vAlign w:val="center"/>
            <w:hideMark/>
          </w:tcPr>
          <w:p w:rsidR="00407E05" w:rsidRPr="00407E05" w:rsidRDefault="00407E05" w:rsidP="00407E05">
            <w:pPr>
              <w:jc w:val="left"/>
              <w:rPr>
                <w:rFonts w:eastAsia="Times New Roman" w:cs="Calibri"/>
                <w:color w:val="000000"/>
                <w:lang w:eastAsia="it-IT"/>
              </w:rPr>
            </w:pPr>
            <w:r w:rsidRPr="00407E05">
              <w:rPr>
                <w:rFonts w:eastAsia="Times New Roman" w:cs="Calibri"/>
                <w:color w:val="000000"/>
                <w:lang w:eastAsia="it-IT"/>
              </w:rPr>
              <w:t>Marche</w:t>
            </w:r>
          </w:p>
        </w:tc>
        <w:tc>
          <w:tcPr>
            <w:tcW w:w="1211"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94.1</w:t>
            </w:r>
          </w:p>
        </w:tc>
        <w:tc>
          <w:tcPr>
            <w:tcW w:w="1357"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69.4</w:t>
            </w:r>
          </w:p>
        </w:tc>
      </w:tr>
      <w:tr w:rsidR="00407E05" w:rsidRPr="00407E05" w:rsidTr="00407E05">
        <w:trPr>
          <w:trHeight w:val="300"/>
        </w:trPr>
        <w:tc>
          <w:tcPr>
            <w:tcW w:w="392"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13</w:t>
            </w:r>
          </w:p>
        </w:tc>
        <w:tc>
          <w:tcPr>
            <w:tcW w:w="2041" w:type="pct"/>
            <w:tcBorders>
              <w:top w:val="nil"/>
              <w:left w:val="nil"/>
              <w:bottom w:val="nil"/>
              <w:right w:val="nil"/>
            </w:tcBorders>
            <w:shd w:val="clear" w:color="auto" w:fill="auto"/>
            <w:noWrap/>
            <w:vAlign w:val="center"/>
            <w:hideMark/>
          </w:tcPr>
          <w:p w:rsidR="00407E05" w:rsidRPr="00407E05" w:rsidRDefault="00407E05" w:rsidP="00407E05">
            <w:pPr>
              <w:jc w:val="left"/>
              <w:rPr>
                <w:rFonts w:eastAsia="Times New Roman" w:cs="Calibri"/>
                <w:color w:val="000000"/>
                <w:lang w:eastAsia="it-IT"/>
              </w:rPr>
            </w:pPr>
            <w:r w:rsidRPr="00407E05">
              <w:rPr>
                <w:rFonts w:eastAsia="Times New Roman" w:cs="Calibri"/>
                <w:color w:val="000000"/>
                <w:lang w:eastAsia="it-IT"/>
              </w:rPr>
              <w:t>Abruzzo</w:t>
            </w:r>
          </w:p>
        </w:tc>
        <w:tc>
          <w:tcPr>
            <w:tcW w:w="1211"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87.5</w:t>
            </w:r>
          </w:p>
        </w:tc>
        <w:tc>
          <w:tcPr>
            <w:tcW w:w="1357"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64.5</w:t>
            </w:r>
          </w:p>
        </w:tc>
      </w:tr>
      <w:tr w:rsidR="00407E05" w:rsidRPr="00407E05" w:rsidTr="00407E05">
        <w:trPr>
          <w:trHeight w:val="300"/>
        </w:trPr>
        <w:tc>
          <w:tcPr>
            <w:tcW w:w="392"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14</w:t>
            </w:r>
          </w:p>
        </w:tc>
        <w:tc>
          <w:tcPr>
            <w:tcW w:w="2041" w:type="pct"/>
            <w:tcBorders>
              <w:top w:val="nil"/>
              <w:left w:val="nil"/>
              <w:bottom w:val="nil"/>
              <w:right w:val="nil"/>
            </w:tcBorders>
            <w:shd w:val="clear" w:color="auto" w:fill="auto"/>
            <w:noWrap/>
            <w:vAlign w:val="center"/>
            <w:hideMark/>
          </w:tcPr>
          <w:p w:rsidR="00407E05" w:rsidRPr="00407E05" w:rsidRDefault="00407E05" w:rsidP="00407E05">
            <w:pPr>
              <w:jc w:val="left"/>
              <w:rPr>
                <w:rFonts w:eastAsia="Times New Roman" w:cs="Calibri"/>
                <w:color w:val="000000"/>
                <w:lang w:eastAsia="it-IT"/>
              </w:rPr>
            </w:pPr>
            <w:r w:rsidRPr="00407E05">
              <w:rPr>
                <w:rFonts w:eastAsia="Times New Roman" w:cs="Calibri"/>
                <w:color w:val="000000"/>
                <w:lang w:eastAsia="it-IT"/>
              </w:rPr>
              <w:t>Molise</w:t>
            </w:r>
          </w:p>
        </w:tc>
        <w:tc>
          <w:tcPr>
            <w:tcW w:w="1211"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82.8</w:t>
            </w:r>
          </w:p>
        </w:tc>
        <w:tc>
          <w:tcPr>
            <w:tcW w:w="1357"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61</w:t>
            </w:r>
          </w:p>
        </w:tc>
      </w:tr>
      <w:tr w:rsidR="00407E05" w:rsidRPr="00407E05" w:rsidTr="00407E05">
        <w:trPr>
          <w:trHeight w:val="300"/>
        </w:trPr>
        <w:tc>
          <w:tcPr>
            <w:tcW w:w="392"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15</w:t>
            </w:r>
          </w:p>
        </w:tc>
        <w:tc>
          <w:tcPr>
            <w:tcW w:w="2041" w:type="pct"/>
            <w:tcBorders>
              <w:top w:val="nil"/>
              <w:left w:val="nil"/>
              <w:bottom w:val="nil"/>
              <w:right w:val="nil"/>
            </w:tcBorders>
            <w:shd w:val="clear" w:color="auto" w:fill="auto"/>
            <w:noWrap/>
            <w:vAlign w:val="center"/>
            <w:hideMark/>
          </w:tcPr>
          <w:p w:rsidR="00407E05" w:rsidRPr="00407E05" w:rsidRDefault="00407E05" w:rsidP="00407E05">
            <w:pPr>
              <w:jc w:val="left"/>
              <w:rPr>
                <w:rFonts w:eastAsia="Times New Roman" w:cs="Calibri"/>
                <w:color w:val="000000"/>
                <w:lang w:eastAsia="it-IT"/>
              </w:rPr>
            </w:pPr>
            <w:r w:rsidRPr="00407E05">
              <w:rPr>
                <w:rFonts w:eastAsia="Times New Roman" w:cs="Calibri"/>
                <w:color w:val="000000"/>
                <w:lang w:eastAsia="it-IT"/>
              </w:rPr>
              <w:t>Valle d'Aosta</w:t>
            </w:r>
          </w:p>
        </w:tc>
        <w:tc>
          <w:tcPr>
            <w:tcW w:w="1211"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80</w:t>
            </w:r>
          </w:p>
        </w:tc>
        <w:tc>
          <w:tcPr>
            <w:tcW w:w="1357"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59</w:t>
            </w:r>
          </w:p>
        </w:tc>
      </w:tr>
      <w:tr w:rsidR="00407E05" w:rsidRPr="00407E05" w:rsidTr="00407E05">
        <w:trPr>
          <w:trHeight w:val="300"/>
        </w:trPr>
        <w:tc>
          <w:tcPr>
            <w:tcW w:w="392"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16</w:t>
            </w:r>
          </w:p>
        </w:tc>
        <w:tc>
          <w:tcPr>
            <w:tcW w:w="2041" w:type="pct"/>
            <w:tcBorders>
              <w:top w:val="nil"/>
              <w:left w:val="nil"/>
              <w:bottom w:val="nil"/>
              <w:right w:val="nil"/>
            </w:tcBorders>
            <w:shd w:val="clear" w:color="auto" w:fill="auto"/>
            <w:noWrap/>
            <w:vAlign w:val="center"/>
            <w:hideMark/>
          </w:tcPr>
          <w:p w:rsidR="00407E05" w:rsidRPr="00407E05" w:rsidRDefault="00407E05" w:rsidP="00407E05">
            <w:pPr>
              <w:jc w:val="left"/>
              <w:rPr>
                <w:rFonts w:eastAsia="Times New Roman" w:cs="Calibri"/>
                <w:color w:val="000000"/>
                <w:lang w:eastAsia="it-IT"/>
              </w:rPr>
            </w:pPr>
            <w:r w:rsidRPr="00407E05">
              <w:rPr>
                <w:rFonts w:eastAsia="Times New Roman" w:cs="Calibri"/>
                <w:color w:val="000000"/>
                <w:lang w:eastAsia="it-IT"/>
              </w:rPr>
              <w:t>Puglia</w:t>
            </w:r>
          </w:p>
        </w:tc>
        <w:tc>
          <w:tcPr>
            <w:tcW w:w="1211"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79.4</w:t>
            </w:r>
          </w:p>
        </w:tc>
        <w:tc>
          <w:tcPr>
            <w:tcW w:w="1357"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58.5</w:t>
            </w:r>
          </w:p>
        </w:tc>
      </w:tr>
      <w:tr w:rsidR="00407E05" w:rsidRPr="00407E05" w:rsidTr="00407E05">
        <w:trPr>
          <w:trHeight w:val="300"/>
        </w:trPr>
        <w:tc>
          <w:tcPr>
            <w:tcW w:w="392"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17</w:t>
            </w:r>
          </w:p>
        </w:tc>
        <w:tc>
          <w:tcPr>
            <w:tcW w:w="2041" w:type="pct"/>
            <w:tcBorders>
              <w:top w:val="nil"/>
              <w:left w:val="nil"/>
              <w:bottom w:val="nil"/>
              <w:right w:val="nil"/>
            </w:tcBorders>
            <w:shd w:val="clear" w:color="auto" w:fill="auto"/>
            <w:noWrap/>
            <w:vAlign w:val="center"/>
            <w:hideMark/>
          </w:tcPr>
          <w:p w:rsidR="00407E05" w:rsidRPr="00407E05" w:rsidRDefault="00407E05" w:rsidP="00407E05">
            <w:pPr>
              <w:jc w:val="left"/>
              <w:rPr>
                <w:rFonts w:eastAsia="Times New Roman" w:cs="Calibri"/>
                <w:color w:val="000000"/>
                <w:lang w:eastAsia="it-IT"/>
              </w:rPr>
            </w:pPr>
            <w:r w:rsidRPr="00407E05">
              <w:rPr>
                <w:rFonts w:eastAsia="Times New Roman" w:cs="Calibri"/>
                <w:color w:val="000000"/>
                <w:lang w:eastAsia="it-IT"/>
              </w:rPr>
              <w:t>Basilicata</w:t>
            </w:r>
          </w:p>
        </w:tc>
        <w:tc>
          <w:tcPr>
            <w:tcW w:w="1211"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78.6</w:t>
            </w:r>
          </w:p>
        </w:tc>
        <w:tc>
          <w:tcPr>
            <w:tcW w:w="1357"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57.9</w:t>
            </w:r>
          </w:p>
        </w:tc>
      </w:tr>
      <w:tr w:rsidR="00407E05" w:rsidRPr="00407E05" w:rsidTr="00407E05">
        <w:trPr>
          <w:trHeight w:val="300"/>
        </w:trPr>
        <w:tc>
          <w:tcPr>
            <w:tcW w:w="392"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18</w:t>
            </w:r>
          </w:p>
        </w:tc>
        <w:tc>
          <w:tcPr>
            <w:tcW w:w="2041" w:type="pct"/>
            <w:tcBorders>
              <w:top w:val="nil"/>
              <w:left w:val="nil"/>
              <w:bottom w:val="nil"/>
              <w:right w:val="nil"/>
            </w:tcBorders>
            <w:shd w:val="clear" w:color="auto" w:fill="auto"/>
            <w:noWrap/>
            <w:vAlign w:val="center"/>
            <w:hideMark/>
          </w:tcPr>
          <w:p w:rsidR="00407E05" w:rsidRPr="00407E05" w:rsidRDefault="00407E05" w:rsidP="00407E05">
            <w:pPr>
              <w:jc w:val="left"/>
              <w:rPr>
                <w:rFonts w:eastAsia="Times New Roman" w:cs="Calibri"/>
                <w:color w:val="000000"/>
                <w:lang w:eastAsia="it-IT"/>
              </w:rPr>
            </w:pPr>
            <w:r w:rsidRPr="00407E05">
              <w:rPr>
                <w:rFonts w:eastAsia="Times New Roman" w:cs="Calibri"/>
                <w:color w:val="000000"/>
                <w:lang w:eastAsia="it-IT"/>
              </w:rPr>
              <w:t>Campania</w:t>
            </w:r>
          </w:p>
        </w:tc>
        <w:tc>
          <w:tcPr>
            <w:tcW w:w="1211"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78.4</w:t>
            </w:r>
          </w:p>
        </w:tc>
        <w:tc>
          <w:tcPr>
            <w:tcW w:w="1357"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57.8</w:t>
            </w:r>
          </w:p>
        </w:tc>
      </w:tr>
      <w:tr w:rsidR="00407E05" w:rsidRPr="00407E05" w:rsidTr="00407E05">
        <w:trPr>
          <w:trHeight w:val="300"/>
        </w:trPr>
        <w:tc>
          <w:tcPr>
            <w:tcW w:w="392"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19</w:t>
            </w:r>
          </w:p>
        </w:tc>
        <w:tc>
          <w:tcPr>
            <w:tcW w:w="2041" w:type="pct"/>
            <w:tcBorders>
              <w:top w:val="nil"/>
              <w:left w:val="nil"/>
              <w:bottom w:val="nil"/>
              <w:right w:val="nil"/>
            </w:tcBorders>
            <w:shd w:val="clear" w:color="auto" w:fill="auto"/>
            <w:noWrap/>
            <w:vAlign w:val="center"/>
            <w:hideMark/>
          </w:tcPr>
          <w:p w:rsidR="00407E05" w:rsidRPr="00407E05" w:rsidRDefault="00407E05" w:rsidP="00407E05">
            <w:pPr>
              <w:jc w:val="left"/>
              <w:rPr>
                <w:rFonts w:eastAsia="Times New Roman" w:cs="Calibri"/>
                <w:color w:val="000000"/>
                <w:lang w:eastAsia="it-IT"/>
              </w:rPr>
            </w:pPr>
            <w:r w:rsidRPr="00407E05">
              <w:rPr>
                <w:rFonts w:eastAsia="Times New Roman" w:cs="Calibri"/>
                <w:color w:val="000000"/>
                <w:lang w:eastAsia="it-IT"/>
              </w:rPr>
              <w:t>Calabria</w:t>
            </w:r>
          </w:p>
        </w:tc>
        <w:tc>
          <w:tcPr>
            <w:tcW w:w="1211"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78.4</w:t>
            </w:r>
          </w:p>
        </w:tc>
        <w:tc>
          <w:tcPr>
            <w:tcW w:w="1357"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57.8</w:t>
            </w:r>
          </w:p>
        </w:tc>
      </w:tr>
      <w:tr w:rsidR="00407E05" w:rsidRPr="00407E05" w:rsidTr="00407E05">
        <w:trPr>
          <w:trHeight w:val="300"/>
        </w:trPr>
        <w:tc>
          <w:tcPr>
            <w:tcW w:w="392"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20</w:t>
            </w:r>
          </w:p>
        </w:tc>
        <w:tc>
          <w:tcPr>
            <w:tcW w:w="2041" w:type="pct"/>
            <w:tcBorders>
              <w:top w:val="nil"/>
              <w:left w:val="nil"/>
              <w:bottom w:val="nil"/>
              <w:right w:val="nil"/>
            </w:tcBorders>
            <w:shd w:val="clear" w:color="auto" w:fill="auto"/>
            <w:noWrap/>
            <w:vAlign w:val="center"/>
            <w:hideMark/>
          </w:tcPr>
          <w:p w:rsidR="00407E05" w:rsidRPr="00407E05" w:rsidRDefault="00407E05" w:rsidP="00407E05">
            <w:pPr>
              <w:jc w:val="left"/>
              <w:rPr>
                <w:rFonts w:eastAsia="Times New Roman" w:cs="Calibri"/>
                <w:color w:val="000000"/>
                <w:lang w:eastAsia="it-IT"/>
              </w:rPr>
            </w:pPr>
            <w:r w:rsidRPr="00407E05">
              <w:rPr>
                <w:rFonts w:eastAsia="Times New Roman" w:cs="Calibri"/>
                <w:color w:val="000000"/>
                <w:lang w:eastAsia="it-IT"/>
              </w:rPr>
              <w:t>Sardegna</w:t>
            </w:r>
          </w:p>
        </w:tc>
        <w:tc>
          <w:tcPr>
            <w:tcW w:w="1211"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71</w:t>
            </w:r>
          </w:p>
        </w:tc>
        <w:tc>
          <w:tcPr>
            <w:tcW w:w="1357" w:type="pct"/>
            <w:tcBorders>
              <w:top w:val="nil"/>
              <w:left w:val="nil"/>
              <w:bottom w:val="nil"/>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52.4</w:t>
            </w:r>
          </w:p>
        </w:tc>
      </w:tr>
      <w:tr w:rsidR="00407E05" w:rsidRPr="00407E05" w:rsidTr="00407E05">
        <w:trPr>
          <w:trHeight w:val="315"/>
        </w:trPr>
        <w:tc>
          <w:tcPr>
            <w:tcW w:w="392" w:type="pct"/>
            <w:tcBorders>
              <w:top w:val="nil"/>
              <w:left w:val="nil"/>
              <w:bottom w:val="single" w:sz="8" w:space="0" w:color="1F497D"/>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21</w:t>
            </w:r>
          </w:p>
        </w:tc>
        <w:tc>
          <w:tcPr>
            <w:tcW w:w="2041" w:type="pct"/>
            <w:tcBorders>
              <w:top w:val="nil"/>
              <w:left w:val="nil"/>
              <w:bottom w:val="single" w:sz="8" w:space="0" w:color="1F497D"/>
              <w:right w:val="nil"/>
            </w:tcBorders>
            <w:shd w:val="clear" w:color="auto" w:fill="auto"/>
            <w:noWrap/>
            <w:vAlign w:val="center"/>
            <w:hideMark/>
          </w:tcPr>
          <w:p w:rsidR="00407E05" w:rsidRPr="00407E05" w:rsidRDefault="00407E05" w:rsidP="00407E05">
            <w:pPr>
              <w:jc w:val="left"/>
              <w:rPr>
                <w:rFonts w:eastAsia="Times New Roman" w:cs="Calibri"/>
                <w:color w:val="000000"/>
                <w:lang w:eastAsia="it-IT"/>
              </w:rPr>
            </w:pPr>
            <w:r w:rsidRPr="00407E05">
              <w:rPr>
                <w:rFonts w:eastAsia="Times New Roman" w:cs="Calibri"/>
                <w:color w:val="000000"/>
                <w:lang w:eastAsia="it-IT"/>
              </w:rPr>
              <w:t>Sicilia</w:t>
            </w:r>
          </w:p>
        </w:tc>
        <w:tc>
          <w:tcPr>
            <w:tcW w:w="1211" w:type="pct"/>
            <w:tcBorders>
              <w:top w:val="nil"/>
              <w:left w:val="nil"/>
              <w:bottom w:val="single" w:sz="8" w:space="0" w:color="1F497D"/>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69.7</w:t>
            </w:r>
          </w:p>
        </w:tc>
        <w:tc>
          <w:tcPr>
            <w:tcW w:w="1357" w:type="pct"/>
            <w:tcBorders>
              <w:top w:val="nil"/>
              <w:left w:val="nil"/>
              <w:bottom w:val="single" w:sz="8" w:space="0" w:color="1F497D"/>
              <w:right w:val="nil"/>
            </w:tcBorders>
            <w:shd w:val="clear" w:color="auto" w:fill="auto"/>
            <w:noWrap/>
            <w:vAlign w:val="center"/>
            <w:hideMark/>
          </w:tcPr>
          <w:p w:rsidR="00407E05" w:rsidRPr="00407E05" w:rsidRDefault="00407E05" w:rsidP="00407E05">
            <w:pPr>
              <w:jc w:val="right"/>
              <w:rPr>
                <w:rFonts w:eastAsia="Times New Roman" w:cs="Calibri"/>
                <w:color w:val="000000"/>
                <w:lang w:eastAsia="it-IT"/>
              </w:rPr>
            </w:pPr>
            <w:r w:rsidRPr="00407E05">
              <w:rPr>
                <w:rFonts w:eastAsia="Times New Roman" w:cs="Calibri"/>
                <w:color w:val="000000"/>
                <w:lang w:eastAsia="it-IT"/>
              </w:rPr>
              <w:t>51.3</w:t>
            </w:r>
          </w:p>
        </w:tc>
      </w:tr>
    </w:tbl>
    <w:p w:rsidR="00806A03" w:rsidRPr="00D4748D" w:rsidRDefault="00806A03" w:rsidP="00806A03">
      <w:pPr>
        <w:spacing w:after="120"/>
        <w:rPr>
          <w:rFonts w:asciiTheme="majorHAnsi" w:hAnsiTheme="majorHAnsi"/>
          <w:sz w:val="18"/>
          <w:szCs w:val="18"/>
          <w:lang w:val="en-US"/>
        </w:rPr>
      </w:pPr>
      <w:r>
        <w:rPr>
          <w:rFonts w:asciiTheme="majorHAnsi" w:hAnsiTheme="majorHAnsi"/>
          <w:sz w:val="18"/>
          <w:szCs w:val="18"/>
          <w:lang w:val="en-US"/>
        </w:rPr>
        <w:t>Source</w:t>
      </w:r>
      <w:r w:rsidRPr="00D4748D">
        <w:rPr>
          <w:rFonts w:asciiTheme="majorHAnsi" w:hAnsiTheme="majorHAnsi"/>
          <w:sz w:val="18"/>
          <w:szCs w:val="18"/>
          <w:lang w:val="en-US"/>
        </w:rPr>
        <w:t xml:space="preserve">: Confindustria and SRM elaborations on </w:t>
      </w:r>
      <w:proofErr w:type="spellStart"/>
      <w:r>
        <w:rPr>
          <w:rFonts w:asciiTheme="majorHAnsi" w:hAnsiTheme="majorHAnsi"/>
          <w:sz w:val="18"/>
          <w:szCs w:val="18"/>
          <w:lang w:val="en-US"/>
        </w:rPr>
        <w:t>Europea</w:t>
      </w:r>
      <w:proofErr w:type="spellEnd"/>
      <w:r>
        <w:rPr>
          <w:rFonts w:asciiTheme="majorHAnsi" w:hAnsiTheme="majorHAnsi"/>
          <w:sz w:val="18"/>
          <w:szCs w:val="18"/>
          <w:lang w:val="en-US"/>
        </w:rPr>
        <w:t xml:space="preserve"> Commission</w:t>
      </w:r>
      <w:r w:rsidRPr="00D4748D">
        <w:rPr>
          <w:rFonts w:asciiTheme="majorHAnsi" w:hAnsiTheme="majorHAnsi"/>
          <w:sz w:val="18"/>
          <w:szCs w:val="18"/>
          <w:lang w:val="en-US"/>
        </w:rPr>
        <w:t xml:space="preserve"> data</w:t>
      </w:r>
      <w:r>
        <w:rPr>
          <w:rFonts w:asciiTheme="majorHAnsi" w:hAnsiTheme="majorHAnsi"/>
          <w:sz w:val="18"/>
          <w:szCs w:val="18"/>
          <w:lang w:val="en-US"/>
        </w:rPr>
        <w:t xml:space="preserve">, </w:t>
      </w:r>
      <w:r w:rsidRPr="00806A03">
        <w:rPr>
          <w:rFonts w:asciiTheme="majorHAnsi" w:hAnsiTheme="majorHAnsi"/>
          <w:sz w:val="18"/>
          <w:szCs w:val="18"/>
          <w:lang w:val="en-US"/>
        </w:rPr>
        <w:t>(Regional Innovation Scoreboard, 2017)</w:t>
      </w:r>
    </w:p>
    <w:p w:rsidR="0070300A" w:rsidRPr="00806A03" w:rsidRDefault="0070300A" w:rsidP="000872D2">
      <w:pPr>
        <w:shd w:val="clear" w:color="auto" w:fill="FFFFFF"/>
        <w:spacing w:after="120"/>
        <w:rPr>
          <w:rFonts w:asciiTheme="majorHAnsi" w:hAnsiTheme="majorHAnsi"/>
          <w:b/>
          <w:lang w:val="en-US"/>
        </w:rPr>
      </w:pPr>
    </w:p>
    <w:p w:rsidR="00247DE2" w:rsidRPr="00247DE2" w:rsidRDefault="00247DE2" w:rsidP="000872D2">
      <w:pPr>
        <w:shd w:val="clear" w:color="auto" w:fill="FFFFFF"/>
        <w:spacing w:after="120"/>
        <w:rPr>
          <w:rFonts w:asciiTheme="majorHAnsi" w:hAnsiTheme="majorHAnsi"/>
          <w:b/>
          <w:lang w:val="en-US"/>
        </w:rPr>
      </w:pPr>
      <w:r w:rsidRPr="00247DE2">
        <w:rPr>
          <w:rFonts w:asciiTheme="majorHAnsi" w:hAnsiTheme="majorHAnsi"/>
          <w:b/>
          <w:lang w:val="en-US"/>
        </w:rPr>
        <w:t>Young people that prematurely leave school (age 18-24, % values)</w:t>
      </w:r>
    </w:p>
    <w:p w:rsidR="000872D2" w:rsidRPr="00F464F0" w:rsidRDefault="00407E05" w:rsidP="000872D2">
      <w:pPr>
        <w:shd w:val="clear" w:color="auto" w:fill="FFFFFF"/>
        <w:spacing w:after="120"/>
        <w:rPr>
          <w:rFonts w:ascii="Helvetica" w:hAnsi="Helvetica"/>
          <w:b/>
          <w:color w:val="1F497D"/>
          <w:shd w:val="clear" w:color="auto" w:fill="FFFFFF"/>
        </w:rPr>
      </w:pPr>
      <w:r>
        <w:rPr>
          <w:rFonts w:ascii="Helvetica" w:hAnsi="Helvetica"/>
          <w:b/>
          <w:noProof/>
          <w:color w:val="1F497D"/>
          <w:shd w:val="clear" w:color="auto" w:fill="FFFFFF"/>
          <w:lang w:eastAsia="it-IT"/>
        </w:rPr>
        <w:drawing>
          <wp:inline distT="0" distB="0" distL="0" distR="0" wp14:anchorId="1C1F78A6">
            <wp:extent cx="6401435" cy="326136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1435" cy="3261360"/>
                    </a:xfrm>
                    <a:prstGeom prst="rect">
                      <a:avLst/>
                    </a:prstGeom>
                    <a:noFill/>
                  </pic:spPr>
                </pic:pic>
              </a:graphicData>
            </a:graphic>
          </wp:inline>
        </w:drawing>
      </w:r>
    </w:p>
    <w:p w:rsidR="00D4748D" w:rsidRPr="00D4748D" w:rsidRDefault="00D4748D" w:rsidP="00D4748D">
      <w:pPr>
        <w:spacing w:after="120"/>
        <w:rPr>
          <w:rFonts w:asciiTheme="majorHAnsi" w:hAnsiTheme="majorHAnsi"/>
          <w:sz w:val="18"/>
          <w:szCs w:val="18"/>
          <w:lang w:val="en-US"/>
        </w:rPr>
      </w:pPr>
      <w:r>
        <w:rPr>
          <w:rFonts w:asciiTheme="majorHAnsi" w:hAnsiTheme="majorHAnsi"/>
          <w:sz w:val="18"/>
          <w:szCs w:val="18"/>
          <w:lang w:val="en-US"/>
        </w:rPr>
        <w:t>Source</w:t>
      </w:r>
      <w:r w:rsidRPr="00D4748D">
        <w:rPr>
          <w:rFonts w:asciiTheme="majorHAnsi" w:hAnsiTheme="majorHAnsi"/>
          <w:sz w:val="18"/>
          <w:szCs w:val="18"/>
          <w:lang w:val="en-US"/>
        </w:rPr>
        <w:t xml:space="preserve">: Confindustria and SRM elaborations on </w:t>
      </w:r>
      <w:proofErr w:type="spellStart"/>
      <w:r>
        <w:rPr>
          <w:rFonts w:asciiTheme="majorHAnsi" w:hAnsiTheme="majorHAnsi"/>
          <w:sz w:val="18"/>
          <w:szCs w:val="18"/>
          <w:lang w:val="en-US"/>
        </w:rPr>
        <w:t>Istat</w:t>
      </w:r>
      <w:proofErr w:type="spellEnd"/>
      <w:r w:rsidRPr="00D4748D">
        <w:rPr>
          <w:rFonts w:asciiTheme="majorHAnsi" w:hAnsiTheme="majorHAnsi"/>
          <w:sz w:val="18"/>
          <w:szCs w:val="18"/>
          <w:lang w:val="en-US"/>
        </w:rPr>
        <w:t xml:space="preserve"> data</w:t>
      </w:r>
    </w:p>
    <w:p w:rsidR="000872D2" w:rsidRPr="00B21960" w:rsidRDefault="00B21960" w:rsidP="00CF36FD">
      <w:pPr>
        <w:shd w:val="clear" w:color="auto" w:fill="FFFFFF"/>
        <w:spacing w:after="120"/>
        <w:rPr>
          <w:rFonts w:asciiTheme="majorHAnsi" w:hAnsiTheme="majorHAnsi"/>
          <w:b/>
          <w:lang w:val="en-US"/>
        </w:rPr>
      </w:pPr>
      <w:r w:rsidRPr="00B21960">
        <w:rPr>
          <w:rFonts w:asciiTheme="majorHAnsi" w:hAnsiTheme="majorHAnsi"/>
          <w:b/>
          <w:lang w:val="en-US"/>
        </w:rPr>
        <w:lastRenderedPageBreak/>
        <w:t xml:space="preserve">Incidence of the relative family poverty rate by age of the reference person and geographical distribution (% values, years 2014-2016)  </w:t>
      </w:r>
    </w:p>
    <w:tbl>
      <w:tblPr>
        <w:tblW w:w="5000" w:type="pct"/>
        <w:tblCellMar>
          <w:left w:w="70" w:type="dxa"/>
          <w:right w:w="70" w:type="dxa"/>
        </w:tblCellMar>
        <w:tblLook w:val="04A0" w:firstRow="1" w:lastRow="0" w:firstColumn="1" w:lastColumn="0" w:noHBand="0" w:noVBand="1"/>
      </w:tblPr>
      <w:tblGrid>
        <w:gridCol w:w="1008"/>
        <w:gridCol w:w="730"/>
        <w:gridCol w:w="730"/>
        <w:gridCol w:w="732"/>
        <w:gridCol w:w="730"/>
        <w:gridCol w:w="730"/>
        <w:gridCol w:w="732"/>
        <w:gridCol w:w="730"/>
        <w:gridCol w:w="730"/>
        <w:gridCol w:w="733"/>
        <w:gridCol w:w="731"/>
        <w:gridCol w:w="731"/>
        <w:gridCol w:w="731"/>
      </w:tblGrid>
      <w:tr w:rsidR="00407E05" w:rsidRPr="00407E05" w:rsidTr="00D4748D">
        <w:trPr>
          <w:trHeight w:val="300"/>
        </w:trPr>
        <w:tc>
          <w:tcPr>
            <w:tcW w:w="411" w:type="pct"/>
            <w:vMerge w:val="restart"/>
            <w:tcBorders>
              <w:top w:val="nil"/>
              <w:left w:val="nil"/>
              <w:bottom w:val="nil"/>
              <w:right w:val="nil"/>
            </w:tcBorders>
            <w:shd w:val="clear" w:color="000000" w:fill="1F497D"/>
            <w:noWrap/>
            <w:vAlign w:val="center"/>
            <w:hideMark/>
          </w:tcPr>
          <w:p w:rsidR="00407E05" w:rsidRPr="00407E05" w:rsidRDefault="00407E05" w:rsidP="00407E05">
            <w:pPr>
              <w:jc w:val="center"/>
              <w:rPr>
                <w:rFonts w:asciiTheme="minorHAnsi" w:eastAsia="Times New Roman" w:hAnsiTheme="minorHAnsi" w:cstheme="minorHAnsi"/>
                <w:color w:val="FFFFFF"/>
                <w:sz w:val="18"/>
                <w:szCs w:val="18"/>
                <w:lang w:eastAsia="it-IT"/>
              </w:rPr>
            </w:pPr>
            <w:r w:rsidRPr="00407E05">
              <w:rPr>
                <w:rFonts w:asciiTheme="minorHAnsi" w:eastAsia="Times New Roman" w:hAnsiTheme="minorHAnsi" w:cstheme="minorHAnsi"/>
                <w:color w:val="FFFFFF"/>
                <w:sz w:val="18"/>
                <w:szCs w:val="18"/>
                <w:lang w:eastAsia="it-IT"/>
              </w:rPr>
              <w:t xml:space="preserve">Age </w:t>
            </w:r>
            <w:proofErr w:type="spellStart"/>
            <w:r w:rsidRPr="00407E05">
              <w:rPr>
                <w:rFonts w:asciiTheme="minorHAnsi" w:eastAsia="Times New Roman" w:hAnsiTheme="minorHAnsi" w:cstheme="minorHAnsi"/>
                <w:color w:val="FFFFFF"/>
                <w:sz w:val="18"/>
                <w:szCs w:val="18"/>
                <w:lang w:eastAsia="it-IT"/>
              </w:rPr>
              <w:t>class</w:t>
            </w:r>
            <w:proofErr w:type="spellEnd"/>
          </w:p>
        </w:tc>
        <w:tc>
          <w:tcPr>
            <w:tcW w:w="1147" w:type="pct"/>
            <w:gridSpan w:val="3"/>
            <w:tcBorders>
              <w:top w:val="nil"/>
              <w:left w:val="nil"/>
              <w:bottom w:val="nil"/>
              <w:right w:val="nil"/>
            </w:tcBorders>
            <w:shd w:val="clear" w:color="000000" w:fill="1F497D"/>
            <w:noWrap/>
            <w:vAlign w:val="center"/>
            <w:hideMark/>
          </w:tcPr>
          <w:p w:rsidR="00407E05" w:rsidRPr="00407E05" w:rsidRDefault="00407E05" w:rsidP="00407E05">
            <w:pPr>
              <w:jc w:val="center"/>
              <w:rPr>
                <w:rFonts w:asciiTheme="minorHAnsi" w:eastAsia="Times New Roman" w:hAnsiTheme="minorHAnsi" w:cstheme="minorHAnsi"/>
                <w:color w:val="FFFFFF"/>
                <w:sz w:val="18"/>
                <w:szCs w:val="18"/>
                <w:lang w:eastAsia="it-IT"/>
              </w:rPr>
            </w:pPr>
            <w:r w:rsidRPr="00407E05">
              <w:rPr>
                <w:rFonts w:asciiTheme="minorHAnsi" w:eastAsia="Times New Roman" w:hAnsiTheme="minorHAnsi" w:cstheme="minorHAnsi"/>
                <w:color w:val="FFFFFF"/>
                <w:sz w:val="18"/>
                <w:szCs w:val="18"/>
                <w:lang w:eastAsia="it-IT"/>
              </w:rPr>
              <w:t>North Italy</w:t>
            </w:r>
          </w:p>
        </w:tc>
        <w:tc>
          <w:tcPr>
            <w:tcW w:w="1147" w:type="pct"/>
            <w:gridSpan w:val="3"/>
            <w:tcBorders>
              <w:top w:val="nil"/>
              <w:left w:val="nil"/>
              <w:bottom w:val="nil"/>
              <w:right w:val="nil"/>
            </w:tcBorders>
            <w:shd w:val="clear" w:color="000000" w:fill="1F497D"/>
            <w:noWrap/>
            <w:vAlign w:val="center"/>
            <w:hideMark/>
          </w:tcPr>
          <w:p w:rsidR="00407E05" w:rsidRPr="00407E05" w:rsidRDefault="00407E05" w:rsidP="00407E05">
            <w:pPr>
              <w:jc w:val="center"/>
              <w:rPr>
                <w:rFonts w:asciiTheme="minorHAnsi" w:eastAsia="Times New Roman" w:hAnsiTheme="minorHAnsi" w:cstheme="minorHAnsi"/>
                <w:color w:val="FFFFFF"/>
                <w:sz w:val="18"/>
                <w:szCs w:val="18"/>
                <w:lang w:eastAsia="it-IT"/>
              </w:rPr>
            </w:pPr>
            <w:r w:rsidRPr="00407E05">
              <w:rPr>
                <w:rFonts w:asciiTheme="minorHAnsi" w:eastAsia="Times New Roman" w:hAnsiTheme="minorHAnsi" w:cstheme="minorHAnsi"/>
                <w:color w:val="FFFFFF"/>
                <w:sz w:val="18"/>
                <w:szCs w:val="18"/>
                <w:lang w:eastAsia="it-IT"/>
              </w:rPr>
              <w:t>Central Italy</w:t>
            </w:r>
          </w:p>
        </w:tc>
        <w:tc>
          <w:tcPr>
            <w:tcW w:w="1147" w:type="pct"/>
            <w:gridSpan w:val="3"/>
            <w:tcBorders>
              <w:top w:val="nil"/>
              <w:left w:val="nil"/>
              <w:bottom w:val="nil"/>
              <w:right w:val="nil"/>
            </w:tcBorders>
            <w:shd w:val="clear" w:color="000000" w:fill="1F497D"/>
            <w:noWrap/>
            <w:vAlign w:val="center"/>
            <w:hideMark/>
          </w:tcPr>
          <w:p w:rsidR="00407E05" w:rsidRPr="00407E05" w:rsidRDefault="00407E05" w:rsidP="00407E05">
            <w:pPr>
              <w:jc w:val="center"/>
              <w:rPr>
                <w:rFonts w:asciiTheme="minorHAnsi" w:eastAsia="Times New Roman" w:hAnsiTheme="minorHAnsi" w:cstheme="minorHAnsi"/>
                <w:b/>
                <w:bCs/>
                <w:color w:val="FFFFFF"/>
                <w:sz w:val="18"/>
                <w:szCs w:val="18"/>
                <w:lang w:eastAsia="it-IT"/>
              </w:rPr>
            </w:pPr>
            <w:r w:rsidRPr="00407E05">
              <w:rPr>
                <w:rFonts w:asciiTheme="minorHAnsi" w:eastAsia="Times New Roman" w:hAnsiTheme="minorHAnsi" w:cstheme="minorHAnsi"/>
                <w:b/>
                <w:bCs/>
                <w:color w:val="FFFFFF"/>
                <w:sz w:val="18"/>
                <w:szCs w:val="18"/>
                <w:lang w:eastAsia="it-IT"/>
              </w:rPr>
              <w:t>Southern Italy</w:t>
            </w:r>
          </w:p>
        </w:tc>
        <w:tc>
          <w:tcPr>
            <w:tcW w:w="1146" w:type="pct"/>
            <w:gridSpan w:val="3"/>
            <w:tcBorders>
              <w:top w:val="nil"/>
              <w:left w:val="nil"/>
              <w:bottom w:val="nil"/>
              <w:right w:val="nil"/>
            </w:tcBorders>
            <w:shd w:val="clear" w:color="000000" w:fill="1F497D"/>
            <w:noWrap/>
            <w:vAlign w:val="center"/>
            <w:hideMark/>
          </w:tcPr>
          <w:p w:rsidR="00407E05" w:rsidRPr="00407E05" w:rsidRDefault="00407E05" w:rsidP="00407E05">
            <w:pPr>
              <w:jc w:val="center"/>
              <w:rPr>
                <w:rFonts w:asciiTheme="minorHAnsi" w:eastAsia="Times New Roman" w:hAnsiTheme="minorHAnsi" w:cstheme="minorHAnsi"/>
                <w:color w:val="FFFFFF"/>
                <w:sz w:val="18"/>
                <w:szCs w:val="18"/>
                <w:lang w:eastAsia="it-IT"/>
              </w:rPr>
            </w:pPr>
            <w:r w:rsidRPr="00407E05">
              <w:rPr>
                <w:rFonts w:asciiTheme="minorHAnsi" w:eastAsia="Times New Roman" w:hAnsiTheme="minorHAnsi" w:cstheme="minorHAnsi"/>
                <w:color w:val="FFFFFF"/>
                <w:sz w:val="18"/>
                <w:szCs w:val="18"/>
                <w:lang w:eastAsia="it-IT"/>
              </w:rPr>
              <w:t>Italy</w:t>
            </w:r>
          </w:p>
        </w:tc>
      </w:tr>
      <w:tr w:rsidR="00407E05" w:rsidRPr="00407E05" w:rsidTr="00D4748D">
        <w:trPr>
          <w:trHeight w:val="300"/>
        </w:trPr>
        <w:tc>
          <w:tcPr>
            <w:tcW w:w="411" w:type="pct"/>
            <w:vMerge/>
            <w:tcBorders>
              <w:top w:val="nil"/>
              <w:left w:val="nil"/>
              <w:bottom w:val="nil"/>
              <w:right w:val="nil"/>
            </w:tcBorders>
            <w:vAlign w:val="center"/>
            <w:hideMark/>
          </w:tcPr>
          <w:p w:rsidR="00407E05" w:rsidRPr="00407E05" w:rsidRDefault="00407E05" w:rsidP="00407E05">
            <w:pPr>
              <w:jc w:val="left"/>
              <w:rPr>
                <w:rFonts w:asciiTheme="minorHAnsi" w:eastAsia="Times New Roman" w:hAnsiTheme="minorHAnsi" w:cstheme="minorHAnsi"/>
                <w:color w:val="FFFFFF"/>
                <w:sz w:val="18"/>
                <w:szCs w:val="18"/>
                <w:lang w:eastAsia="it-IT"/>
              </w:rPr>
            </w:pPr>
          </w:p>
        </w:tc>
        <w:tc>
          <w:tcPr>
            <w:tcW w:w="382" w:type="pct"/>
            <w:tcBorders>
              <w:top w:val="nil"/>
              <w:left w:val="nil"/>
              <w:bottom w:val="nil"/>
              <w:right w:val="nil"/>
            </w:tcBorders>
            <w:shd w:val="clear" w:color="000000" w:fill="1F497D"/>
            <w:vAlign w:val="center"/>
            <w:hideMark/>
          </w:tcPr>
          <w:p w:rsidR="00407E05" w:rsidRPr="00407E05" w:rsidRDefault="00407E05" w:rsidP="00407E05">
            <w:pPr>
              <w:jc w:val="center"/>
              <w:rPr>
                <w:rFonts w:asciiTheme="minorHAnsi" w:eastAsia="Times New Roman" w:hAnsiTheme="minorHAnsi" w:cstheme="minorHAnsi"/>
                <w:color w:val="FFFFFF"/>
                <w:sz w:val="18"/>
                <w:szCs w:val="18"/>
                <w:lang w:eastAsia="it-IT"/>
              </w:rPr>
            </w:pPr>
            <w:r w:rsidRPr="00407E05">
              <w:rPr>
                <w:rFonts w:asciiTheme="minorHAnsi" w:eastAsia="Times New Roman" w:hAnsiTheme="minorHAnsi" w:cstheme="minorHAnsi"/>
                <w:color w:val="FFFFFF"/>
                <w:sz w:val="18"/>
                <w:szCs w:val="18"/>
                <w:lang w:eastAsia="it-IT"/>
              </w:rPr>
              <w:t>2014</w:t>
            </w:r>
          </w:p>
        </w:tc>
        <w:tc>
          <w:tcPr>
            <w:tcW w:w="382" w:type="pct"/>
            <w:tcBorders>
              <w:top w:val="nil"/>
              <w:left w:val="nil"/>
              <w:bottom w:val="nil"/>
              <w:right w:val="nil"/>
            </w:tcBorders>
            <w:shd w:val="clear" w:color="000000" w:fill="1F497D"/>
            <w:vAlign w:val="center"/>
            <w:hideMark/>
          </w:tcPr>
          <w:p w:rsidR="00407E05" w:rsidRPr="00407E05" w:rsidRDefault="00407E05" w:rsidP="00407E05">
            <w:pPr>
              <w:jc w:val="center"/>
              <w:rPr>
                <w:rFonts w:asciiTheme="minorHAnsi" w:eastAsia="Times New Roman" w:hAnsiTheme="minorHAnsi" w:cstheme="minorHAnsi"/>
                <w:color w:val="FFFFFF"/>
                <w:sz w:val="18"/>
                <w:szCs w:val="18"/>
                <w:lang w:eastAsia="it-IT"/>
              </w:rPr>
            </w:pPr>
            <w:r w:rsidRPr="00407E05">
              <w:rPr>
                <w:rFonts w:asciiTheme="minorHAnsi" w:eastAsia="Times New Roman" w:hAnsiTheme="minorHAnsi" w:cstheme="minorHAnsi"/>
                <w:color w:val="FFFFFF"/>
                <w:sz w:val="18"/>
                <w:szCs w:val="18"/>
                <w:lang w:eastAsia="it-IT"/>
              </w:rPr>
              <w:t>2015</w:t>
            </w:r>
          </w:p>
        </w:tc>
        <w:tc>
          <w:tcPr>
            <w:tcW w:w="382" w:type="pct"/>
            <w:tcBorders>
              <w:top w:val="nil"/>
              <w:left w:val="nil"/>
              <w:bottom w:val="nil"/>
              <w:right w:val="nil"/>
            </w:tcBorders>
            <w:shd w:val="clear" w:color="000000" w:fill="1F497D"/>
            <w:vAlign w:val="center"/>
            <w:hideMark/>
          </w:tcPr>
          <w:p w:rsidR="00407E05" w:rsidRPr="00407E05" w:rsidRDefault="00407E05" w:rsidP="00407E05">
            <w:pPr>
              <w:jc w:val="center"/>
              <w:rPr>
                <w:rFonts w:asciiTheme="minorHAnsi" w:eastAsia="Times New Roman" w:hAnsiTheme="minorHAnsi" w:cstheme="minorHAnsi"/>
                <w:color w:val="FFFFFF"/>
                <w:sz w:val="18"/>
                <w:szCs w:val="18"/>
                <w:lang w:eastAsia="it-IT"/>
              </w:rPr>
            </w:pPr>
            <w:r w:rsidRPr="00407E05">
              <w:rPr>
                <w:rFonts w:asciiTheme="minorHAnsi" w:eastAsia="Times New Roman" w:hAnsiTheme="minorHAnsi" w:cstheme="minorHAnsi"/>
                <w:color w:val="FFFFFF"/>
                <w:sz w:val="18"/>
                <w:szCs w:val="18"/>
                <w:lang w:eastAsia="it-IT"/>
              </w:rPr>
              <w:t>2016</w:t>
            </w:r>
          </w:p>
        </w:tc>
        <w:tc>
          <w:tcPr>
            <w:tcW w:w="382" w:type="pct"/>
            <w:tcBorders>
              <w:top w:val="nil"/>
              <w:left w:val="nil"/>
              <w:bottom w:val="nil"/>
              <w:right w:val="nil"/>
            </w:tcBorders>
            <w:shd w:val="clear" w:color="000000" w:fill="1F497D"/>
            <w:vAlign w:val="center"/>
            <w:hideMark/>
          </w:tcPr>
          <w:p w:rsidR="00407E05" w:rsidRPr="00407E05" w:rsidRDefault="00407E05" w:rsidP="00407E05">
            <w:pPr>
              <w:jc w:val="center"/>
              <w:rPr>
                <w:rFonts w:asciiTheme="minorHAnsi" w:eastAsia="Times New Roman" w:hAnsiTheme="minorHAnsi" w:cstheme="minorHAnsi"/>
                <w:color w:val="FFFFFF"/>
                <w:sz w:val="18"/>
                <w:szCs w:val="18"/>
                <w:lang w:eastAsia="it-IT"/>
              </w:rPr>
            </w:pPr>
            <w:r w:rsidRPr="00407E05">
              <w:rPr>
                <w:rFonts w:asciiTheme="minorHAnsi" w:eastAsia="Times New Roman" w:hAnsiTheme="minorHAnsi" w:cstheme="minorHAnsi"/>
                <w:color w:val="FFFFFF"/>
                <w:sz w:val="18"/>
                <w:szCs w:val="18"/>
                <w:lang w:eastAsia="it-IT"/>
              </w:rPr>
              <w:t>2014</w:t>
            </w:r>
          </w:p>
        </w:tc>
        <w:tc>
          <w:tcPr>
            <w:tcW w:w="382" w:type="pct"/>
            <w:tcBorders>
              <w:top w:val="nil"/>
              <w:left w:val="nil"/>
              <w:bottom w:val="nil"/>
              <w:right w:val="nil"/>
            </w:tcBorders>
            <w:shd w:val="clear" w:color="000000" w:fill="1F497D"/>
            <w:vAlign w:val="center"/>
            <w:hideMark/>
          </w:tcPr>
          <w:p w:rsidR="00407E05" w:rsidRPr="00407E05" w:rsidRDefault="00407E05" w:rsidP="00407E05">
            <w:pPr>
              <w:jc w:val="center"/>
              <w:rPr>
                <w:rFonts w:asciiTheme="minorHAnsi" w:eastAsia="Times New Roman" w:hAnsiTheme="minorHAnsi" w:cstheme="minorHAnsi"/>
                <w:color w:val="FFFFFF"/>
                <w:sz w:val="18"/>
                <w:szCs w:val="18"/>
                <w:lang w:eastAsia="it-IT"/>
              </w:rPr>
            </w:pPr>
            <w:r w:rsidRPr="00407E05">
              <w:rPr>
                <w:rFonts w:asciiTheme="minorHAnsi" w:eastAsia="Times New Roman" w:hAnsiTheme="minorHAnsi" w:cstheme="minorHAnsi"/>
                <w:color w:val="FFFFFF"/>
                <w:sz w:val="18"/>
                <w:szCs w:val="18"/>
                <w:lang w:eastAsia="it-IT"/>
              </w:rPr>
              <w:t>2015</w:t>
            </w:r>
          </w:p>
        </w:tc>
        <w:tc>
          <w:tcPr>
            <w:tcW w:w="382" w:type="pct"/>
            <w:tcBorders>
              <w:top w:val="nil"/>
              <w:left w:val="nil"/>
              <w:bottom w:val="nil"/>
              <w:right w:val="nil"/>
            </w:tcBorders>
            <w:shd w:val="clear" w:color="000000" w:fill="1F497D"/>
            <w:vAlign w:val="center"/>
            <w:hideMark/>
          </w:tcPr>
          <w:p w:rsidR="00407E05" w:rsidRPr="00407E05" w:rsidRDefault="00407E05" w:rsidP="00407E05">
            <w:pPr>
              <w:jc w:val="center"/>
              <w:rPr>
                <w:rFonts w:asciiTheme="minorHAnsi" w:eastAsia="Times New Roman" w:hAnsiTheme="minorHAnsi" w:cstheme="minorHAnsi"/>
                <w:color w:val="FFFFFF"/>
                <w:sz w:val="18"/>
                <w:szCs w:val="18"/>
                <w:lang w:eastAsia="it-IT"/>
              </w:rPr>
            </w:pPr>
            <w:r w:rsidRPr="00407E05">
              <w:rPr>
                <w:rFonts w:asciiTheme="minorHAnsi" w:eastAsia="Times New Roman" w:hAnsiTheme="minorHAnsi" w:cstheme="minorHAnsi"/>
                <w:color w:val="FFFFFF"/>
                <w:sz w:val="18"/>
                <w:szCs w:val="18"/>
                <w:lang w:eastAsia="it-IT"/>
              </w:rPr>
              <w:t>2016</w:t>
            </w:r>
          </w:p>
        </w:tc>
        <w:tc>
          <w:tcPr>
            <w:tcW w:w="382" w:type="pct"/>
            <w:tcBorders>
              <w:top w:val="nil"/>
              <w:left w:val="nil"/>
              <w:bottom w:val="nil"/>
              <w:right w:val="nil"/>
            </w:tcBorders>
            <w:shd w:val="clear" w:color="000000" w:fill="1F497D"/>
            <w:vAlign w:val="center"/>
            <w:hideMark/>
          </w:tcPr>
          <w:p w:rsidR="00407E05" w:rsidRPr="00407E05" w:rsidRDefault="00407E05" w:rsidP="00407E05">
            <w:pPr>
              <w:jc w:val="center"/>
              <w:rPr>
                <w:rFonts w:asciiTheme="minorHAnsi" w:eastAsia="Times New Roman" w:hAnsiTheme="minorHAnsi" w:cstheme="minorHAnsi"/>
                <w:color w:val="FFFFFF"/>
                <w:sz w:val="18"/>
                <w:szCs w:val="18"/>
                <w:lang w:eastAsia="it-IT"/>
              </w:rPr>
            </w:pPr>
            <w:r w:rsidRPr="00407E05">
              <w:rPr>
                <w:rFonts w:asciiTheme="minorHAnsi" w:eastAsia="Times New Roman" w:hAnsiTheme="minorHAnsi" w:cstheme="minorHAnsi"/>
                <w:color w:val="FFFFFF"/>
                <w:sz w:val="18"/>
                <w:szCs w:val="18"/>
                <w:lang w:eastAsia="it-IT"/>
              </w:rPr>
              <w:t>2014</w:t>
            </w:r>
          </w:p>
        </w:tc>
        <w:tc>
          <w:tcPr>
            <w:tcW w:w="382" w:type="pct"/>
            <w:tcBorders>
              <w:top w:val="nil"/>
              <w:left w:val="nil"/>
              <w:bottom w:val="nil"/>
              <w:right w:val="nil"/>
            </w:tcBorders>
            <w:shd w:val="clear" w:color="000000" w:fill="1F497D"/>
            <w:vAlign w:val="center"/>
            <w:hideMark/>
          </w:tcPr>
          <w:p w:rsidR="00407E05" w:rsidRPr="00407E05" w:rsidRDefault="00407E05" w:rsidP="00407E05">
            <w:pPr>
              <w:jc w:val="center"/>
              <w:rPr>
                <w:rFonts w:asciiTheme="minorHAnsi" w:eastAsia="Times New Roman" w:hAnsiTheme="minorHAnsi" w:cstheme="minorHAnsi"/>
                <w:color w:val="FFFFFF"/>
                <w:sz w:val="18"/>
                <w:szCs w:val="18"/>
                <w:lang w:eastAsia="it-IT"/>
              </w:rPr>
            </w:pPr>
            <w:r w:rsidRPr="00407E05">
              <w:rPr>
                <w:rFonts w:asciiTheme="minorHAnsi" w:eastAsia="Times New Roman" w:hAnsiTheme="minorHAnsi" w:cstheme="minorHAnsi"/>
                <w:color w:val="FFFFFF"/>
                <w:sz w:val="18"/>
                <w:szCs w:val="18"/>
                <w:lang w:eastAsia="it-IT"/>
              </w:rPr>
              <w:t>2015</w:t>
            </w:r>
          </w:p>
        </w:tc>
        <w:tc>
          <w:tcPr>
            <w:tcW w:w="382" w:type="pct"/>
            <w:tcBorders>
              <w:top w:val="nil"/>
              <w:left w:val="nil"/>
              <w:bottom w:val="nil"/>
              <w:right w:val="nil"/>
            </w:tcBorders>
            <w:shd w:val="clear" w:color="000000" w:fill="1F497D"/>
            <w:vAlign w:val="center"/>
            <w:hideMark/>
          </w:tcPr>
          <w:p w:rsidR="00407E05" w:rsidRPr="00407E05" w:rsidRDefault="00407E05" w:rsidP="00407E05">
            <w:pPr>
              <w:jc w:val="center"/>
              <w:rPr>
                <w:rFonts w:asciiTheme="minorHAnsi" w:eastAsia="Times New Roman" w:hAnsiTheme="minorHAnsi" w:cstheme="minorHAnsi"/>
                <w:color w:val="FFFFFF"/>
                <w:sz w:val="18"/>
                <w:szCs w:val="18"/>
                <w:lang w:eastAsia="it-IT"/>
              </w:rPr>
            </w:pPr>
            <w:r w:rsidRPr="00407E05">
              <w:rPr>
                <w:rFonts w:asciiTheme="minorHAnsi" w:eastAsia="Times New Roman" w:hAnsiTheme="minorHAnsi" w:cstheme="minorHAnsi"/>
                <w:color w:val="FFFFFF"/>
                <w:sz w:val="18"/>
                <w:szCs w:val="18"/>
                <w:lang w:eastAsia="it-IT"/>
              </w:rPr>
              <w:t>2016</w:t>
            </w:r>
          </w:p>
        </w:tc>
        <w:tc>
          <w:tcPr>
            <w:tcW w:w="382" w:type="pct"/>
            <w:tcBorders>
              <w:top w:val="nil"/>
              <w:left w:val="nil"/>
              <w:bottom w:val="nil"/>
              <w:right w:val="nil"/>
            </w:tcBorders>
            <w:shd w:val="clear" w:color="000000" w:fill="1F497D"/>
            <w:vAlign w:val="center"/>
            <w:hideMark/>
          </w:tcPr>
          <w:p w:rsidR="00407E05" w:rsidRPr="00407E05" w:rsidRDefault="00407E05" w:rsidP="00407E05">
            <w:pPr>
              <w:jc w:val="center"/>
              <w:rPr>
                <w:rFonts w:asciiTheme="minorHAnsi" w:eastAsia="Times New Roman" w:hAnsiTheme="minorHAnsi" w:cstheme="minorHAnsi"/>
                <w:color w:val="FFFFFF"/>
                <w:sz w:val="18"/>
                <w:szCs w:val="18"/>
                <w:lang w:eastAsia="it-IT"/>
              </w:rPr>
            </w:pPr>
            <w:r w:rsidRPr="00407E05">
              <w:rPr>
                <w:rFonts w:asciiTheme="minorHAnsi" w:eastAsia="Times New Roman" w:hAnsiTheme="minorHAnsi" w:cstheme="minorHAnsi"/>
                <w:color w:val="FFFFFF"/>
                <w:sz w:val="18"/>
                <w:szCs w:val="18"/>
                <w:lang w:eastAsia="it-IT"/>
              </w:rPr>
              <w:t>2014</w:t>
            </w:r>
          </w:p>
        </w:tc>
        <w:tc>
          <w:tcPr>
            <w:tcW w:w="382" w:type="pct"/>
            <w:tcBorders>
              <w:top w:val="nil"/>
              <w:left w:val="nil"/>
              <w:bottom w:val="nil"/>
              <w:right w:val="nil"/>
            </w:tcBorders>
            <w:shd w:val="clear" w:color="000000" w:fill="1F497D"/>
            <w:vAlign w:val="center"/>
            <w:hideMark/>
          </w:tcPr>
          <w:p w:rsidR="00407E05" w:rsidRPr="00407E05" w:rsidRDefault="00407E05" w:rsidP="00407E05">
            <w:pPr>
              <w:jc w:val="center"/>
              <w:rPr>
                <w:rFonts w:asciiTheme="minorHAnsi" w:eastAsia="Times New Roman" w:hAnsiTheme="minorHAnsi" w:cstheme="minorHAnsi"/>
                <w:color w:val="FFFFFF"/>
                <w:sz w:val="18"/>
                <w:szCs w:val="18"/>
                <w:lang w:eastAsia="it-IT"/>
              </w:rPr>
            </w:pPr>
            <w:r w:rsidRPr="00407E05">
              <w:rPr>
                <w:rFonts w:asciiTheme="minorHAnsi" w:eastAsia="Times New Roman" w:hAnsiTheme="minorHAnsi" w:cstheme="minorHAnsi"/>
                <w:color w:val="FFFFFF"/>
                <w:sz w:val="18"/>
                <w:szCs w:val="18"/>
                <w:lang w:eastAsia="it-IT"/>
              </w:rPr>
              <w:t>2015</w:t>
            </w:r>
          </w:p>
        </w:tc>
        <w:tc>
          <w:tcPr>
            <w:tcW w:w="381" w:type="pct"/>
            <w:tcBorders>
              <w:top w:val="nil"/>
              <w:left w:val="nil"/>
              <w:bottom w:val="nil"/>
              <w:right w:val="nil"/>
            </w:tcBorders>
            <w:shd w:val="clear" w:color="000000" w:fill="1F497D"/>
            <w:vAlign w:val="center"/>
            <w:hideMark/>
          </w:tcPr>
          <w:p w:rsidR="00407E05" w:rsidRPr="00407E05" w:rsidRDefault="00407E05" w:rsidP="00407E05">
            <w:pPr>
              <w:jc w:val="center"/>
              <w:rPr>
                <w:rFonts w:asciiTheme="minorHAnsi" w:eastAsia="Times New Roman" w:hAnsiTheme="minorHAnsi" w:cstheme="minorHAnsi"/>
                <w:color w:val="FFFFFF"/>
                <w:sz w:val="18"/>
                <w:szCs w:val="18"/>
                <w:lang w:eastAsia="it-IT"/>
              </w:rPr>
            </w:pPr>
            <w:r w:rsidRPr="00407E05">
              <w:rPr>
                <w:rFonts w:asciiTheme="minorHAnsi" w:eastAsia="Times New Roman" w:hAnsiTheme="minorHAnsi" w:cstheme="minorHAnsi"/>
                <w:color w:val="FFFFFF"/>
                <w:sz w:val="18"/>
                <w:szCs w:val="18"/>
                <w:lang w:eastAsia="it-IT"/>
              </w:rPr>
              <w:t>2016</w:t>
            </w:r>
          </w:p>
        </w:tc>
      </w:tr>
      <w:tr w:rsidR="00407E05" w:rsidRPr="00407E05" w:rsidTr="00D4748D">
        <w:trPr>
          <w:trHeight w:val="300"/>
        </w:trPr>
        <w:tc>
          <w:tcPr>
            <w:tcW w:w="411" w:type="pct"/>
            <w:tcBorders>
              <w:top w:val="nil"/>
              <w:left w:val="nil"/>
              <w:bottom w:val="nil"/>
              <w:right w:val="nil"/>
            </w:tcBorders>
            <w:shd w:val="clear" w:color="auto" w:fill="auto"/>
            <w:noWrap/>
            <w:vAlign w:val="center"/>
            <w:hideMark/>
          </w:tcPr>
          <w:p w:rsidR="00407E05" w:rsidRPr="00407E05" w:rsidRDefault="00407E05" w:rsidP="00407E05">
            <w:pPr>
              <w:rPr>
                <w:rFonts w:asciiTheme="minorHAnsi" w:eastAsia="Times New Roman" w:hAnsiTheme="minorHAnsi" w:cstheme="minorHAnsi"/>
                <w:color w:val="000000"/>
                <w:sz w:val="18"/>
                <w:szCs w:val="18"/>
                <w:lang w:eastAsia="it-IT"/>
              </w:rPr>
            </w:pPr>
            <w:r w:rsidRPr="00407E05">
              <w:rPr>
                <w:rFonts w:asciiTheme="minorHAnsi" w:eastAsia="Times New Roman" w:hAnsiTheme="minorHAnsi" w:cstheme="minorHAnsi"/>
                <w:color w:val="000000"/>
                <w:sz w:val="18"/>
                <w:szCs w:val="18"/>
                <w:lang w:eastAsia="it-IT"/>
              </w:rPr>
              <w:t>18-34</w:t>
            </w:r>
          </w:p>
        </w:tc>
        <w:tc>
          <w:tcPr>
            <w:tcW w:w="382" w:type="pct"/>
            <w:tcBorders>
              <w:top w:val="nil"/>
              <w:left w:val="nil"/>
              <w:bottom w:val="nil"/>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color w:val="000000"/>
                <w:sz w:val="18"/>
                <w:szCs w:val="18"/>
                <w:lang w:eastAsia="it-IT"/>
              </w:rPr>
            </w:pPr>
            <w:r w:rsidRPr="00407E05">
              <w:rPr>
                <w:rFonts w:asciiTheme="minorHAnsi" w:eastAsia="Times New Roman" w:hAnsiTheme="minorHAnsi" w:cstheme="minorHAnsi"/>
                <w:color w:val="000000"/>
                <w:sz w:val="18"/>
                <w:szCs w:val="18"/>
                <w:lang w:eastAsia="it-IT"/>
              </w:rPr>
              <w:t>8.4</w:t>
            </w:r>
          </w:p>
        </w:tc>
        <w:tc>
          <w:tcPr>
            <w:tcW w:w="382" w:type="pct"/>
            <w:tcBorders>
              <w:top w:val="nil"/>
              <w:left w:val="nil"/>
              <w:bottom w:val="nil"/>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color w:val="000000"/>
                <w:sz w:val="18"/>
                <w:szCs w:val="18"/>
                <w:lang w:eastAsia="it-IT"/>
              </w:rPr>
            </w:pPr>
            <w:r w:rsidRPr="00407E05">
              <w:rPr>
                <w:rFonts w:asciiTheme="minorHAnsi" w:eastAsia="Times New Roman" w:hAnsiTheme="minorHAnsi" w:cstheme="minorHAnsi"/>
                <w:color w:val="000000"/>
                <w:sz w:val="18"/>
                <w:szCs w:val="18"/>
                <w:lang w:eastAsia="it-IT"/>
              </w:rPr>
              <w:t>8.3</w:t>
            </w:r>
          </w:p>
        </w:tc>
        <w:tc>
          <w:tcPr>
            <w:tcW w:w="382" w:type="pct"/>
            <w:tcBorders>
              <w:top w:val="nil"/>
              <w:left w:val="nil"/>
              <w:bottom w:val="nil"/>
              <w:right w:val="nil"/>
            </w:tcBorders>
            <w:shd w:val="clear" w:color="auto" w:fill="auto"/>
            <w:noWrap/>
            <w:vAlign w:val="center"/>
            <w:hideMark/>
          </w:tcPr>
          <w:p w:rsidR="00407E05" w:rsidRPr="00407E05" w:rsidRDefault="00407E05" w:rsidP="00407E05">
            <w:pPr>
              <w:jc w:val="right"/>
              <w:rPr>
                <w:rFonts w:asciiTheme="minorHAnsi" w:eastAsia="Times New Roman" w:hAnsiTheme="minorHAnsi" w:cstheme="minorHAnsi"/>
                <w:sz w:val="18"/>
                <w:szCs w:val="18"/>
                <w:lang w:eastAsia="it-IT"/>
              </w:rPr>
            </w:pPr>
            <w:r w:rsidRPr="00407E05">
              <w:rPr>
                <w:rFonts w:asciiTheme="minorHAnsi" w:eastAsia="Times New Roman" w:hAnsiTheme="minorHAnsi" w:cstheme="minorHAnsi"/>
                <w:sz w:val="18"/>
                <w:szCs w:val="18"/>
                <w:lang w:eastAsia="it-IT"/>
              </w:rPr>
              <w:t>10.7</w:t>
            </w:r>
          </w:p>
        </w:tc>
        <w:tc>
          <w:tcPr>
            <w:tcW w:w="382" w:type="pct"/>
            <w:tcBorders>
              <w:top w:val="nil"/>
              <w:left w:val="nil"/>
              <w:bottom w:val="nil"/>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color w:val="000000"/>
                <w:sz w:val="18"/>
                <w:szCs w:val="18"/>
                <w:lang w:eastAsia="it-IT"/>
              </w:rPr>
            </w:pPr>
            <w:r w:rsidRPr="00407E05">
              <w:rPr>
                <w:rFonts w:asciiTheme="minorHAnsi" w:eastAsia="Times New Roman" w:hAnsiTheme="minorHAnsi" w:cstheme="minorHAnsi"/>
                <w:color w:val="000000"/>
                <w:sz w:val="18"/>
                <w:szCs w:val="18"/>
                <w:lang w:eastAsia="it-IT"/>
              </w:rPr>
              <w:t>14.7</w:t>
            </w:r>
          </w:p>
        </w:tc>
        <w:tc>
          <w:tcPr>
            <w:tcW w:w="382" w:type="pct"/>
            <w:tcBorders>
              <w:top w:val="nil"/>
              <w:left w:val="nil"/>
              <w:bottom w:val="nil"/>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color w:val="000000"/>
                <w:sz w:val="18"/>
                <w:szCs w:val="18"/>
                <w:lang w:eastAsia="it-IT"/>
              </w:rPr>
            </w:pPr>
            <w:r w:rsidRPr="00407E05">
              <w:rPr>
                <w:rFonts w:asciiTheme="minorHAnsi" w:eastAsia="Times New Roman" w:hAnsiTheme="minorHAnsi" w:cstheme="minorHAnsi"/>
                <w:color w:val="000000"/>
                <w:sz w:val="18"/>
                <w:szCs w:val="18"/>
                <w:lang w:eastAsia="it-IT"/>
              </w:rPr>
              <w:t>6.8</w:t>
            </w:r>
          </w:p>
        </w:tc>
        <w:tc>
          <w:tcPr>
            <w:tcW w:w="382" w:type="pct"/>
            <w:tcBorders>
              <w:top w:val="nil"/>
              <w:left w:val="nil"/>
              <w:bottom w:val="nil"/>
              <w:right w:val="nil"/>
            </w:tcBorders>
            <w:shd w:val="clear" w:color="auto" w:fill="auto"/>
            <w:noWrap/>
            <w:vAlign w:val="center"/>
            <w:hideMark/>
          </w:tcPr>
          <w:p w:rsidR="00407E05" w:rsidRPr="00407E05" w:rsidRDefault="00407E05" w:rsidP="00407E05">
            <w:pPr>
              <w:jc w:val="right"/>
              <w:rPr>
                <w:rFonts w:asciiTheme="minorHAnsi" w:eastAsia="Times New Roman" w:hAnsiTheme="minorHAnsi" w:cstheme="minorHAnsi"/>
                <w:sz w:val="18"/>
                <w:szCs w:val="18"/>
                <w:lang w:eastAsia="it-IT"/>
              </w:rPr>
            </w:pPr>
            <w:proofErr w:type="spellStart"/>
            <w:r w:rsidRPr="00407E05">
              <w:rPr>
                <w:rFonts w:asciiTheme="minorHAnsi" w:eastAsia="Times New Roman" w:hAnsiTheme="minorHAnsi" w:cstheme="minorHAnsi"/>
                <w:sz w:val="18"/>
                <w:szCs w:val="18"/>
                <w:lang w:eastAsia="it-IT"/>
              </w:rPr>
              <w:t>n.d.</w:t>
            </w:r>
            <w:proofErr w:type="spellEnd"/>
          </w:p>
        </w:tc>
        <w:tc>
          <w:tcPr>
            <w:tcW w:w="382" w:type="pct"/>
            <w:tcBorders>
              <w:top w:val="nil"/>
              <w:left w:val="dashed" w:sz="8" w:space="0" w:color="1F497D"/>
              <w:bottom w:val="nil"/>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b/>
                <w:bCs/>
                <w:color w:val="1F497D"/>
                <w:sz w:val="18"/>
                <w:szCs w:val="18"/>
                <w:lang w:eastAsia="it-IT"/>
              </w:rPr>
            </w:pPr>
            <w:r w:rsidRPr="00407E05">
              <w:rPr>
                <w:rFonts w:asciiTheme="minorHAnsi" w:eastAsia="Times New Roman" w:hAnsiTheme="minorHAnsi" w:cstheme="minorHAnsi"/>
                <w:b/>
                <w:bCs/>
                <w:color w:val="1F497D"/>
                <w:sz w:val="18"/>
                <w:szCs w:val="18"/>
                <w:lang w:eastAsia="it-IT"/>
              </w:rPr>
              <w:t>24.8</w:t>
            </w:r>
          </w:p>
        </w:tc>
        <w:tc>
          <w:tcPr>
            <w:tcW w:w="382" w:type="pct"/>
            <w:tcBorders>
              <w:top w:val="nil"/>
              <w:left w:val="nil"/>
              <w:bottom w:val="nil"/>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b/>
                <w:bCs/>
                <w:color w:val="1F497D"/>
                <w:sz w:val="18"/>
                <w:szCs w:val="18"/>
                <w:lang w:eastAsia="it-IT"/>
              </w:rPr>
            </w:pPr>
            <w:r w:rsidRPr="00407E05">
              <w:rPr>
                <w:rFonts w:asciiTheme="minorHAnsi" w:eastAsia="Times New Roman" w:hAnsiTheme="minorHAnsi" w:cstheme="minorHAnsi"/>
                <w:b/>
                <w:bCs/>
                <w:color w:val="1F497D"/>
                <w:sz w:val="18"/>
                <w:szCs w:val="18"/>
                <w:lang w:eastAsia="it-IT"/>
              </w:rPr>
              <w:t>23.3</w:t>
            </w:r>
          </w:p>
        </w:tc>
        <w:tc>
          <w:tcPr>
            <w:tcW w:w="382" w:type="pct"/>
            <w:tcBorders>
              <w:top w:val="nil"/>
              <w:left w:val="nil"/>
              <w:bottom w:val="nil"/>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b/>
                <w:bCs/>
                <w:color w:val="1F497D"/>
                <w:sz w:val="18"/>
                <w:szCs w:val="18"/>
                <w:lang w:eastAsia="it-IT"/>
              </w:rPr>
            </w:pPr>
            <w:r w:rsidRPr="00407E05">
              <w:rPr>
                <w:rFonts w:asciiTheme="minorHAnsi" w:eastAsia="Times New Roman" w:hAnsiTheme="minorHAnsi" w:cstheme="minorHAnsi"/>
                <w:b/>
                <w:bCs/>
                <w:color w:val="1F497D"/>
                <w:sz w:val="18"/>
                <w:szCs w:val="18"/>
                <w:lang w:eastAsia="it-IT"/>
              </w:rPr>
              <w:t>23.2</w:t>
            </w:r>
          </w:p>
        </w:tc>
        <w:tc>
          <w:tcPr>
            <w:tcW w:w="382" w:type="pct"/>
            <w:tcBorders>
              <w:top w:val="nil"/>
              <w:left w:val="dashed" w:sz="8" w:space="0" w:color="1F497D"/>
              <w:bottom w:val="nil"/>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color w:val="000000"/>
                <w:sz w:val="18"/>
                <w:szCs w:val="18"/>
                <w:lang w:eastAsia="it-IT"/>
              </w:rPr>
            </w:pPr>
            <w:r w:rsidRPr="00407E05">
              <w:rPr>
                <w:rFonts w:asciiTheme="minorHAnsi" w:eastAsia="Times New Roman" w:hAnsiTheme="minorHAnsi" w:cstheme="minorHAnsi"/>
                <w:color w:val="000000"/>
                <w:sz w:val="18"/>
                <w:szCs w:val="18"/>
                <w:lang w:eastAsia="it-IT"/>
              </w:rPr>
              <w:t>14.3</w:t>
            </w:r>
          </w:p>
        </w:tc>
        <w:tc>
          <w:tcPr>
            <w:tcW w:w="382" w:type="pct"/>
            <w:tcBorders>
              <w:top w:val="nil"/>
              <w:left w:val="nil"/>
              <w:bottom w:val="nil"/>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color w:val="000000"/>
                <w:sz w:val="18"/>
                <w:szCs w:val="18"/>
                <w:lang w:eastAsia="it-IT"/>
              </w:rPr>
            </w:pPr>
            <w:r w:rsidRPr="00407E05">
              <w:rPr>
                <w:rFonts w:asciiTheme="minorHAnsi" w:eastAsia="Times New Roman" w:hAnsiTheme="minorHAnsi" w:cstheme="minorHAnsi"/>
                <w:color w:val="000000"/>
                <w:sz w:val="18"/>
                <w:szCs w:val="18"/>
                <w:lang w:eastAsia="it-IT"/>
              </w:rPr>
              <w:t>12.8</w:t>
            </w:r>
          </w:p>
        </w:tc>
        <w:tc>
          <w:tcPr>
            <w:tcW w:w="381" w:type="pct"/>
            <w:tcBorders>
              <w:top w:val="nil"/>
              <w:left w:val="nil"/>
              <w:bottom w:val="nil"/>
              <w:right w:val="nil"/>
            </w:tcBorders>
            <w:shd w:val="clear" w:color="auto" w:fill="auto"/>
            <w:noWrap/>
            <w:vAlign w:val="center"/>
            <w:hideMark/>
          </w:tcPr>
          <w:p w:rsidR="00407E05" w:rsidRPr="00407E05" w:rsidRDefault="00407E05" w:rsidP="00407E05">
            <w:pPr>
              <w:jc w:val="right"/>
              <w:rPr>
                <w:rFonts w:asciiTheme="minorHAnsi" w:eastAsia="Times New Roman" w:hAnsiTheme="minorHAnsi" w:cstheme="minorHAnsi"/>
                <w:sz w:val="18"/>
                <w:szCs w:val="18"/>
                <w:lang w:eastAsia="it-IT"/>
              </w:rPr>
            </w:pPr>
            <w:r w:rsidRPr="00407E05">
              <w:rPr>
                <w:rFonts w:asciiTheme="minorHAnsi" w:eastAsia="Times New Roman" w:hAnsiTheme="minorHAnsi" w:cstheme="minorHAnsi"/>
                <w:sz w:val="18"/>
                <w:szCs w:val="18"/>
                <w:lang w:eastAsia="it-IT"/>
              </w:rPr>
              <w:t>14.6</w:t>
            </w:r>
          </w:p>
        </w:tc>
      </w:tr>
      <w:tr w:rsidR="00407E05" w:rsidRPr="00407E05" w:rsidTr="00D4748D">
        <w:trPr>
          <w:trHeight w:val="300"/>
        </w:trPr>
        <w:tc>
          <w:tcPr>
            <w:tcW w:w="411" w:type="pct"/>
            <w:tcBorders>
              <w:top w:val="nil"/>
              <w:left w:val="nil"/>
              <w:bottom w:val="nil"/>
              <w:right w:val="nil"/>
            </w:tcBorders>
            <w:shd w:val="clear" w:color="auto" w:fill="auto"/>
            <w:noWrap/>
            <w:vAlign w:val="center"/>
            <w:hideMark/>
          </w:tcPr>
          <w:p w:rsidR="00407E05" w:rsidRPr="00407E05" w:rsidRDefault="00407E05" w:rsidP="00407E05">
            <w:pPr>
              <w:rPr>
                <w:rFonts w:asciiTheme="minorHAnsi" w:eastAsia="Times New Roman" w:hAnsiTheme="minorHAnsi" w:cstheme="minorHAnsi"/>
                <w:color w:val="000000"/>
                <w:sz w:val="18"/>
                <w:szCs w:val="18"/>
                <w:lang w:eastAsia="it-IT"/>
              </w:rPr>
            </w:pPr>
            <w:r w:rsidRPr="00407E05">
              <w:rPr>
                <w:rFonts w:asciiTheme="minorHAnsi" w:eastAsia="Times New Roman" w:hAnsiTheme="minorHAnsi" w:cstheme="minorHAnsi"/>
                <w:color w:val="000000"/>
                <w:sz w:val="18"/>
                <w:szCs w:val="18"/>
                <w:lang w:eastAsia="it-IT"/>
              </w:rPr>
              <w:t>35-44</w:t>
            </w:r>
          </w:p>
        </w:tc>
        <w:tc>
          <w:tcPr>
            <w:tcW w:w="382" w:type="pct"/>
            <w:tcBorders>
              <w:top w:val="nil"/>
              <w:left w:val="nil"/>
              <w:bottom w:val="nil"/>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color w:val="000000"/>
                <w:sz w:val="18"/>
                <w:szCs w:val="18"/>
                <w:lang w:eastAsia="it-IT"/>
              </w:rPr>
            </w:pPr>
            <w:r w:rsidRPr="00407E05">
              <w:rPr>
                <w:rFonts w:asciiTheme="minorHAnsi" w:eastAsia="Times New Roman" w:hAnsiTheme="minorHAnsi" w:cstheme="minorHAnsi"/>
                <w:color w:val="000000"/>
                <w:sz w:val="18"/>
                <w:szCs w:val="18"/>
                <w:lang w:eastAsia="it-IT"/>
              </w:rPr>
              <w:t>7.7</w:t>
            </w:r>
          </w:p>
        </w:tc>
        <w:tc>
          <w:tcPr>
            <w:tcW w:w="382" w:type="pct"/>
            <w:tcBorders>
              <w:top w:val="nil"/>
              <w:left w:val="nil"/>
              <w:bottom w:val="nil"/>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color w:val="000000"/>
                <w:sz w:val="18"/>
                <w:szCs w:val="18"/>
                <w:lang w:eastAsia="it-IT"/>
              </w:rPr>
            </w:pPr>
            <w:r w:rsidRPr="00407E05">
              <w:rPr>
                <w:rFonts w:asciiTheme="minorHAnsi" w:eastAsia="Times New Roman" w:hAnsiTheme="minorHAnsi" w:cstheme="minorHAnsi"/>
                <w:color w:val="000000"/>
                <w:sz w:val="18"/>
                <w:szCs w:val="18"/>
                <w:lang w:eastAsia="it-IT"/>
              </w:rPr>
              <w:t>8.2</w:t>
            </w:r>
          </w:p>
        </w:tc>
        <w:tc>
          <w:tcPr>
            <w:tcW w:w="382" w:type="pct"/>
            <w:tcBorders>
              <w:top w:val="nil"/>
              <w:left w:val="nil"/>
              <w:bottom w:val="nil"/>
              <w:right w:val="nil"/>
            </w:tcBorders>
            <w:shd w:val="clear" w:color="auto" w:fill="auto"/>
            <w:noWrap/>
            <w:vAlign w:val="center"/>
            <w:hideMark/>
          </w:tcPr>
          <w:p w:rsidR="00407E05" w:rsidRPr="00407E05" w:rsidRDefault="00407E05" w:rsidP="00407E05">
            <w:pPr>
              <w:jc w:val="right"/>
              <w:rPr>
                <w:rFonts w:asciiTheme="minorHAnsi" w:eastAsia="Times New Roman" w:hAnsiTheme="minorHAnsi" w:cstheme="minorHAnsi"/>
                <w:sz w:val="18"/>
                <w:szCs w:val="18"/>
                <w:lang w:eastAsia="it-IT"/>
              </w:rPr>
            </w:pPr>
            <w:r w:rsidRPr="00407E05">
              <w:rPr>
                <w:rFonts w:asciiTheme="minorHAnsi" w:eastAsia="Times New Roman" w:hAnsiTheme="minorHAnsi" w:cstheme="minorHAnsi"/>
                <w:sz w:val="18"/>
                <w:szCs w:val="18"/>
                <w:lang w:eastAsia="it-IT"/>
              </w:rPr>
              <w:t>9.3</w:t>
            </w:r>
          </w:p>
        </w:tc>
        <w:tc>
          <w:tcPr>
            <w:tcW w:w="382" w:type="pct"/>
            <w:tcBorders>
              <w:top w:val="nil"/>
              <w:left w:val="nil"/>
              <w:bottom w:val="nil"/>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color w:val="000000"/>
                <w:sz w:val="18"/>
                <w:szCs w:val="18"/>
                <w:lang w:eastAsia="it-IT"/>
              </w:rPr>
            </w:pPr>
            <w:r w:rsidRPr="00407E05">
              <w:rPr>
                <w:rFonts w:asciiTheme="minorHAnsi" w:eastAsia="Times New Roman" w:hAnsiTheme="minorHAnsi" w:cstheme="minorHAnsi"/>
                <w:color w:val="000000"/>
                <w:sz w:val="18"/>
                <w:szCs w:val="18"/>
                <w:lang w:eastAsia="it-IT"/>
              </w:rPr>
              <w:t>8.4</w:t>
            </w:r>
          </w:p>
        </w:tc>
        <w:tc>
          <w:tcPr>
            <w:tcW w:w="382" w:type="pct"/>
            <w:tcBorders>
              <w:top w:val="nil"/>
              <w:left w:val="nil"/>
              <w:bottom w:val="nil"/>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color w:val="000000"/>
                <w:sz w:val="18"/>
                <w:szCs w:val="18"/>
                <w:lang w:eastAsia="it-IT"/>
              </w:rPr>
            </w:pPr>
            <w:r w:rsidRPr="00407E05">
              <w:rPr>
                <w:rFonts w:asciiTheme="minorHAnsi" w:eastAsia="Times New Roman" w:hAnsiTheme="minorHAnsi" w:cstheme="minorHAnsi"/>
                <w:color w:val="000000"/>
                <w:sz w:val="18"/>
                <w:szCs w:val="18"/>
                <w:lang w:eastAsia="it-IT"/>
              </w:rPr>
              <w:t>12.5</w:t>
            </w:r>
          </w:p>
        </w:tc>
        <w:tc>
          <w:tcPr>
            <w:tcW w:w="382" w:type="pct"/>
            <w:tcBorders>
              <w:top w:val="nil"/>
              <w:left w:val="nil"/>
              <w:bottom w:val="nil"/>
              <w:right w:val="nil"/>
            </w:tcBorders>
            <w:shd w:val="clear" w:color="auto" w:fill="auto"/>
            <w:noWrap/>
            <w:vAlign w:val="center"/>
            <w:hideMark/>
          </w:tcPr>
          <w:p w:rsidR="00407E05" w:rsidRPr="00407E05" w:rsidRDefault="00407E05" w:rsidP="00407E05">
            <w:pPr>
              <w:jc w:val="right"/>
              <w:rPr>
                <w:rFonts w:asciiTheme="minorHAnsi" w:eastAsia="Times New Roman" w:hAnsiTheme="minorHAnsi" w:cstheme="minorHAnsi"/>
                <w:sz w:val="18"/>
                <w:szCs w:val="18"/>
                <w:lang w:eastAsia="it-IT"/>
              </w:rPr>
            </w:pPr>
            <w:r w:rsidRPr="00407E05">
              <w:rPr>
                <w:rFonts w:asciiTheme="minorHAnsi" w:eastAsia="Times New Roman" w:hAnsiTheme="minorHAnsi" w:cstheme="minorHAnsi"/>
                <w:sz w:val="18"/>
                <w:szCs w:val="18"/>
                <w:lang w:eastAsia="it-IT"/>
              </w:rPr>
              <w:t>12.3</w:t>
            </w:r>
          </w:p>
        </w:tc>
        <w:tc>
          <w:tcPr>
            <w:tcW w:w="382" w:type="pct"/>
            <w:tcBorders>
              <w:top w:val="nil"/>
              <w:left w:val="dashed" w:sz="8" w:space="0" w:color="1F497D"/>
              <w:bottom w:val="nil"/>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b/>
                <w:bCs/>
                <w:color w:val="1F497D"/>
                <w:sz w:val="18"/>
                <w:szCs w:val="18"/>
                <w:lang w:eastAsia="it-IT"/>
              </w:rPr>
            </w:pPr>
            <w:r w:rsidRPr="00407E05">
              <w:rPr>
                <w:rFonts w:asciiTheme="minorHAnsi" w:eastAsia="Times New Roman" w:hAnsiTheme="minorHAnsi" w:cstheme="minorHAnsi"/>
                <w:b/>
                <w:bCs/>
                <w:color w:val="1F497D"/>
                <w:sz w:val="18"/>
                <w:szCs w:val="18"/>
                <w:lang w:eastAsia="it-IT"/>
              </w:rPr>
              <w:t>22.4</w:t>
            </w:r>
          </w:p>
        </w:tc>
        <w:tc>
          <w:tcPr>
            <w:tcW w:w="382" w:type="pct"/>
            <w:tcBorders>
              <w:top w:val="nil"/>
              <w:left w:val="nil"/>
              <w:bottom w:val="nil"/>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b/>
                <w:bCs/>
                <w:color w:val="1F497D"/>
                <w:sz w:val="18"/>
                <w:szCs w:val="18"/>
                <w:lang w:eastAsia="it-IT"/>
              </w:rPr>
            </w:pPr>
            <w:r w:rsidRPr="00407E05">
              <w:rPr>
                <w:rFonts w:asciiTheme="minorHAnsi" w:eastAsia="Times New Roman" w:hAnsiTheme="minorHAnsi" w:cstheme="minorHAnsi"/>
                <w:b/>
                <w:bCs/>
                <w:color w:val="1F497D"/>
                <w:sz w:val="18"/>
                <w:szCs w:val="18"/>
                <w:lang w:eastAsia="it-IT"/>
              </w:rPr>
              <w:t>22.4</w:t>
            </w:r>
          </w:p>
        </w:tc>
        <w:tc>
          <w:tcPr>
            <w:tcW w:w="382" w:type="pct"/>
            <w:tcBorders>
              <w:top w:val="nil"/>
              <w:left w:val="nil"/>
              <w:bottom w:val="nil"/>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b/>
                <w:bCs/>
                <w:color w:val="1F497D"/>
                <w:sz w:val="18"/>
                <w:szCs w:val="18"/>
                <w:lang w:eastAsia="it-IT"/>
              </w:rPr>
            </w:pPr>
            <w:r w:rsidRPr="00407E05">
              <w:rPr>
                <w:rFonts w:asciiTheme="minorHAnsi" w:eastAsia="Times New Roman" w:hAnsiTheme="minorHAnsi" w:cstheme="minorHAnsi"/>
                <w:b/>
                <w:bCs/>
                <w:color w:val="1F497D"/>
                <w:sz w:val="18"/>
                <w:szCs w:val="18"/>
                <w:lang w:eastAsia="it-IT"/>
              </w:rPr>
              <w:t>24.4</w:t>
            </w:r>
          </w:p>
        </w:tc>
        <w:tc>
          <w:tcPr>
            <w:tcW w:w="382" w:type="pct"/>
            <w:tcBorders>
              <w:top w:val="nil"/>
              <w:left w:val="dashed" w:sz="8" w:space="0" w:color="1F497D"/>
              <w:bottom w:val="nil"/>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color w:val="000000"/>
                <w:sz w:val="18"/>
                <w:szCs w:val="18"/>
                <w:lang w:eastAsia="it-IT"/>
              </w:rPr>
            </w:pPr>
            <w:r w:rsidRPr="00407E05">
              <w:rPr>
                <w:rFonts w:asciiTheme="minorHAnsi" w:eastAsia="Times New Roman" w:hAnsiTheme="minorHAnsi" w:cstheme="minorHAnsi"/>
                <w:color w:val="000000"/>
                <w:sz w:val="18"/>
                <w:szCs w:val="18"/>
                <w:lang w:eastAsia="it-IT"/>
              </w:rPr>
              <w:t>12.4</w:t>
            </w:r>
          </w:p>
        </w:tc>
        <w:tc>
          <w:tcPr>
            <w:tcW w:w="382" w:type="pct"/>
            <w:tcBorders>
              <w:top w:val="nil"/>
              <w:left w:val="nil"/>
              <w:bottom w:val="nil"/>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color w:val="000000"/>
                <w:sz w:val="18"/>
                <w:szCs w:val="18"/>
                <w:lang w:eastAsia="it-IT"/>
              </w:rPr>
            </w:pPr>
            <w:r w:rsidRPr="00407E05">
              <w:rPr>
                <w:rFonts w:asciiTheme="minorHAnsi" w:eastAsia="Times New Roman" w:hAnsiTheme="minorHAnsi" w:cstheme="minorHAnsi"/>
                <w:color w:val="000000"/>
                <w:sz w:val="18"/>
                <w:szCs w:val="18"/>
                <w:lang w:eastAsia="it-IT"/>
              </w:rPr>
              <w:t>13.5</w:t>
            </w:r>
          </w:p>
        </w:tc>
        <w:tc>
          <w:tcPr>
            <w:tcW w:w="381" w:type="pct"/>
            <w:tcBorders>
              <w:top w:val="nil"/>
              <w:left w:val="nil"/>
              <w:bottom w:val="nil"/>
              <w:right w:val="nil"/>
            </w:tcBorders>
            <w:shd w:val="clear" w:color="auto" w:fill="auto"/>
            <w:noWrap/>
            <w:vAlign w:val="center"/>
            <w:hideMark/>
          </w:tcPr>
          <w:p w:rsidR="00407E05" w:rsidRPr="00407E05" w:rsidRDefault="00407E05" w:rsidP="00407E05">
            <w:pPr>
              <w:jc w:val="right"/>
              <w:rPr>
                <w:rFonts w:asciiTheme="minorHAnsi" w:eastAsia="Times New Roman" w:hAnsiTheme="minorHAnsi" w:cstheme="minorHAnsi"/>
                <w:sz w:val="18"/>
                <w:szCs w:val="18"/>
                <w:lang w:eastAsia="it-IT"/>
              </w:rPr>
            </w:pPr>
            <w:r w:rsidRPr="00407E05">
              <w:rPr>
                <w:rFonts w:asciiTheme="minorHAnsi" w:eastAsia="Times New Roman" w:hAnsiTheme="minorHAnsi" w:cstheme="minorHAnsi"/>
                <w:sz w:val="18"/>
                <w:szCs w:val="18"/>
                <w:lang w:eastAsia="it-IT"/>
              </w:rPr>
              <w:t>14.6</w:t>
            </w:r>
          </w:p>
        </w:tc>
      </w:tr>
      <w:tr w:rsidR="00407E05" w:rsidRPr="00407E05" w:rsidTr="00D4748D">
        <w:trPr>
          <w:trHeight w:val="300"/>
        </w:trPr>
        <w:tc>
          <w:tcPr>
            <w:tcW w:w="411" w:type="pct"/>
            <w:tcBorders>
              <w:top w:val="nil"/>
              <w:left w:val="nil"/>
              <w:bottom w:val="nil"/>
              <w:right w:val="nil"/>
            </w:tcBorders>
            <w:shd w:val="clear" w:color="auto" w:fill="auto"/>
            <w:noWrap/>
            <w:vAlign w:val="center"/>
            <w:hideMark/>
          </w:tcPr>
          <w:p w:rsidR="00407E05" w:rsidRPr="00407E05" w:rsidRDefault="00407E05" w:rsidP="00407E05">
            <w:pPr>
              <w:rPr>
                <w:rFonts w:asciiTheme="minorHAnsi" w:eastAsia="Times New Roman" w:hAnsiTheme="minorHAnsi" w:cstheme="minorHAnsi"/>
                <w:color w:val="000000"/>
                <w:sz w:val="18"/>
                <w:szCs w:val="18"/>
                <w:lang w:eastAsia="it-IT"/>
              </w:rPr>
            </w:pPr>
            <w:r w:rsidRPr="00407E05">
              <w:rPr>
                <w:rFonts w:asciiTheme="minorHAnsi" w:eastAsia="Times New Roman" w:hAnsiTheme="minorHAnsi" w:cstheme="minorHAnsi"/>
                <w:color w:val="000000"/>
                <w:sz w:val="18"/>
                <w:szCs w:val="18"/>
                <w:lang w:eastAsia="it-IT"/>
              </w:rPr>
              <w:t>45-54</w:t>
            </w:r>
          </w:p>
        </w:tc>
        <w:tc>
          <w:tcPr>
            <w:tcW w:w="382" w:type="pct"/>
            <w:tcBorders>
              <w:top w:val="nil"/>
              <w:left w:val="nil"/>
              <w:bottom w:val="nil"/>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color w:val="000000"/>
                <w:sz w:val="18"/>
                <w:szCs w:val="18"/>
                <w:lang w:eastAsia="it-IT"/>
              </w:rPr>
            </w:pPr>
            <w:r w:rsidRPr="00407E05">
              <w:rPr>
                <w:rFonts w:asciiTheme="minorHAnsi" w:eastAsia="Times New Roman" w:hAnsiTheme="minorHAnsi" w:cstheme="minorHAnsi"/>
                <w:color w:val="000000"/>
                <w:sz w:val="18"/>
                <w:szCs w:val="18"/>
                <w:lang w:eastAsia="it-IT"/>
              </w:rPr>
              <w:t>4.7</w:t>
            </w:r>
          </w:p>
        </w:tc>
        <w:tc>
          <w:tcPr>
            <w:tcW w:w="382" w:type="pct"/>
            <w:tcBorders>
              <w:top w:val="nil"/>
              <w:left w:val="nil"/>
              <w:bottom w:val="nil"/>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color w:val="000000"/>
                <w:sz w:val="18"/>
                <w:szCs w:val="18"/>
                <w:lang w:eastAsia="it-IT"/>
              </w:rPr>
            </w:pPr>
            <w:r w:rsidRPr="00407E05">
              <w:rPr>
                <w:rFonts w:asciiTheme="minorHAnsi" w:eastAsia="Times New Roman" w:hAnsiTheme="minorHAnsi" w:cstheme="minorHAnsi"/>
                <w:color w:val="000000"/>
                <w:sz w:val="18"/>
                <w:szCs w:val="18"/>
                <w:lang w:eastAsia="it-IT"/>
              </w:rPr>
              <w:t>6.4</w:t>
            </w:r>
          </w:p>
        </w:tc>
        <w:tc>
          <w:tcPr>
            <w:tcW w:w="382" w:type="pct"/>
            <w:tcBorders>
              <w:top w:val="nil"/>
              <w:left w:val="nil"/>
              <w:bottom w:val="nil"/>
              <w:right w:val="nil"/>
            </w:tcBorders>
            <w:shd w:val="clear" w:color="auto" w:fill="auto"/>
            <w:noWrap/>
            <w:vAlign w:val="center"/>
            <w:hideMark/>
          </w:tcPr>
          <w:p w:rsidR="00407E05" w:rsidRPr="00407E05" w:rsidRDefault="00407E05" w:rsidP="00407E05">
            <w:pPr>
              <w:jc w:val="right"/>
              <w:rPr>
                <w:rFonts w:asciiTheme="minorHAnsi" w:eastAsia="Times New Roman" w:hAnsiTheme="minorHAnsi" w:cstheme="minorHAnsi"/>
                <w:sz w:val="18"/>
                <w:szCs w:val="18"/>
                <w:lang w:eastAsia="it-IT"/>
              </w:rPr>
            </w:pPr>
            <w:r w:rsidRPr="00407E05">
              <w:rPr>
                <w:rFonts w:asciiTheme="minorHAnsi" w:eastAsia="Times New Roman" w:hAnsiTheme="minorHAnsi" w:cstheme="minorHAnsi"/>
                <w:sz w:val="18"/>
                <w:szCs w:val="18"/>
                <w:lang w:eastAsia="it-IT"/>
              </w:rPr>
              <w:t>6.6</w:t>
            </w:r>
          </w:p>
        </w:tc>
        <w:tc>
          <w:tcPr>
            <w:tcW w:w="382" w:type="pct"/>
            <w:tcBorders>
              <w:top w:val="nil"/>
              <w:left w:val="nil"/>
              <w:bottom w:val="nil"/>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color w:val="000000"/>
                <w:sz w:val="18"/>
                <w:szCs w:val="18"/>
                <w:lang w:eastAsia="it-IT"/>
              </w:rPr>
            </w:pPr>
            <w:r w:rsidRPr="00407E05">
              <w:rPr>
                <w:rFonts w:asciiTheme="minorHAnsi" w:eastAsia="Times New Roman" w:hAnsiTheme="minorHAnsi" w:cstheme="minorHAnsi"/>
                <w:color w:val="000000"/>
                <w:sz w:val="18"/>
                <w:szCs w:val="18"/>
                <w:lang w:eastAsia="it-IT"/>
              </w:rPr>
              <w:t>6</w:t>
            </w:r>
          </w:p>
        </w:tc>
        <w:tc>
          <w:tcPr>
            <w:tcW w:w="382" w:type="pct"/>
            <w:tcBorders>
              <w:top w:val="nil"/>
              <w:left w:val="nil"/>
              <w:bottom w:val="nil"/>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color w:val="000000"/>
                <w:sz w:val="18"/>
                <w:szCs w:val="18"/>
                <w:lang w:eastAsia="it-IT"/>
              </w:rPr>
            </w:pPr>
            <w:r w:rsidRPr="00407E05">
              <w:rPr>
                <w:rFonts w:asciiTheme="minorHAnsi" w:eastAsia="Times New Roman" w:hAnsiTheme="minorHAnsi" w:cstheme="minorHAnsi"/>
                <w:color w:val="000000"/>
                <w:sz w:val="18"/>
                <w:szCs w:val="18"/>
                <w:lang w:eastAsia="it-IT"/>
              </w:rPr>
              <w:t>6.8</w:t>
            </w:r>
          </w:p>
        </w:tc>
        <w:tc>
          <w:tcPr>
            <w:tcW w:w="382" w:type="pct"/>
            <w:tcBorders>
              <w:top w:val="nil"/>
              <w:left w:val="nil"/>
              <w:bottom w:val="nil"/>
              <w:right w:val="nil"/>
            </w:tcBorders>
            <w:shd w:val="clear" w:color="auto" w:fill="auto"/>
            <w:noWrap/>
            <w:vAlign w:val="center"/>
            <w:hideMark/>
          </w:tcPr>
          <w:p w:rsidR="00407E05" w:rsidRPr="00407E05" w:rsidRDefault="00407E05" w:rsidP="00407E05">
            <w:pPr>
              <w:jc w:val="right"/>
              <w:rPr>
                <w:rFonts w:asciiTheme="minorHAnsi" w:eastAsia="Times New Roman" w:hAnsiTheme="minorHAnsi" w:cstheme="minorHAnsi"/>
                <w:sz w:val="18"/>
                <w:szCs w:val="18"/>
                <w:lang w:eastAsia="it-IT"/>
              </w:rPr>
            </w:pPr>
            <w:r w:rsidRPr="00407E05">
              <w:rPr>
                <w:rFonts w:asciiTheme="minorHAnsi" w:eastAsia="Times New Roman" w:hAnsiTheme="minorHAnsi" w:cstheme="minorHAnsi"/>
                <w:sz w:val="18"/>
                <w:szCs w:val="18"/>
                <w:lang w:eastAsia="it-IT"/>
              </w:rPr>
              <w:t>9.9</w:t>
            </w:r>
          </w:p>
        </w:tc>
        <w:tc>
          <w:tcPr>
            <w:tcW w:w="382" w:type="pct"/>
            <w:tcBorders>
              <w:top w:val="nil"/>
              <w:left w:val="dashed" w:sz="8" w:space="0" w:color="1F497D"/>
              <w:bottom w:val="nil"/>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b/>
                <w:bCs/>
                <w:color w:val="1F497D"/>
                <w:sz w:val="18"/>
                <w:szCs w:val="18"/>
                <w:lang w:eastAsia="it-IT"/>
              </w:rPr>
            </w:pPr>
            <w:r w:rsidRPr="00407E05">
              <w:rPr>
                <w:rFonts w:asciiTheme="minorHAnsi" w:eastAsia="Times New Roman" w:hAnsiTheme="minorHAnsi" w:cstheme="minorHAnsi"/>
                <w:b/>
                <w:bCs/>
                <w:color w:val="1F497D"/>
                <w:sz w:val="18"/>
                <w:szCs w:val="18"/>
                <w:lang w:eastAsia="it-IT"/>
              </w:rPr>
              <w:t>20.7</w:t>
            </w:r>
          </w:p>
        </w:tc>
        <w:tc>
          <w:tcPr>
            <w:tcW w:w="382" w:type="pct"/>
            <w:tcBorders>
              <w:top w:val="nil"/>
              <w:left w:val="nil"/>
              <w:bottom w:val="nil"/>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b/>
                <w:bCs/>
                <w:color w:val="1F497D"/>
                <w:sz w:val="18"/>
                <w:szCs w:val="18"/>
                <w:lang w:eastAsia="it-IT"/>
              </w:rPr>
            </w:pPr>
            <w:r w:rsidRPr="00407E05">
              <w:rPr>
                <w:rFonts w:asciiTheme="minorHAnsi" w:eastAsia="Times New Roman" w:hAnsiTheme="minorHAnsi" w:cstheme="minorHAnsi"/>
                <w:b/>
                <w:bCs/>
                <w:color w:val="1F497D"/>
                <w:sz w:val="18"/>
                <w:szCs w:val="18"/>
                <w:lang w:eastAsia="it-IT"/>
              </w:rPr>
              <w:t>23.1</w:t>
            </w:r>
          </w:p>
        </w:tc>
        <w:tc>
          <w:tcPr>
            <w:tcW w:w="382" w:type="pct"/>
            <w:tcBorders>
              <w:top w:val="nil"/>
              <w:left w:val="nil"/>
              <w:bottom w:val="nil"/>
              <w:right w:val="dashed" w:sz="8" w:space="0" w:color="1F497D"/>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b/>
                <w:bCs/>
                <w:color w:val="1F497D"/>
                <w:sz w:val="18"/>
                <w:szCs w:val="18"/>
                <w:lang w:eastAsia="it-IT"/>
              </w:rPr>
            </w:pPr>
            <w:r w:rsidRPr="00407E05">
              <w:rPr>
                <w:rFonts w:asciiTheme="minorHAnsi" w:eastAsia="Times New Roman" w:hAnsiTheme="minorHAnsi" w:cstheme="minorHAnsi"/>
                <w:b/>
                <w:bCs/>
                <w:color w:val="1F497D"/>
                <w:sz w:val="18"/>
                <w:szCs w:val="18"/>
                <w:lang w:eastAsia="it-IT"/>
              </w:rPr>
              <w:t>21.1</w:t>
            </w:r>
          </w:p>
        </w:tc>
        <w:tc>
          <w:tcPr>
            <w:tcW w:w="382" w:type="pct"/>
            <w:tcBorders>
              <w:top w:val="nil"/>
              <w:left w:val="nil"/>
              <w:bottom w:val="nil"/>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color w:val="000000"/>
                <w:sz w:val="18"/>
                <w:szCs w:val="18"/>
                <w:lang w:eastAsia="it-IT"/>
              </w:rPr>
            </w:pPr>
            <w:r w:rsidRPr="00407E05">
              <w:rPr>
                <w:rFonts w:asciiTheme="minorHAnsi" w:eastAsia="Times New Roman" w:hAnsiTheme="minorHAnsi" w:cstheme="minorHAnsi"/>
                <w:color w:val="000000"/>
                <w:sz w:val="18"/>
                <w:szCs w:val="18"/>
                <w:lang w:eastAsia="it-IT"/>
              </w:rPr>
              <w:t>10.2</w:t>
            </w:r>
          </w:p>
        </w:tc>
        <w:tc>
          <w:tcPr>
            <w:tcW w:w="382" w:type="pct"/>
            <w:tcBorders>
              <w:top w:val="nil"/>
              <w:left w:val="nil"/>
              <w:bottom w:val="nil"/>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color w:val="000000"/>
                <w:sz w:val="18"/>
                <w:szCs w:val="18"/>
                <w:lang w:eastAsia="it-IT"/>
              </w:rPr>
            </w:pPr>
            <w:r w:rsidRPr="00407E05">
              <w:rPr>
                <w:rFonts w:asciiTheme="minorHAnsi" w:eastAsia="Times New Roman" w:hAnsiTheme="minorHAnsi" w:cstheme="minorHAnsi"/>
                <w:color w:val="000000"/>
                <w:sz w:val="18"/>
                <w:szCs w:val="18"/>
                <w:lang w:eastAsia="it-IT"/>
              </w:rPr>
              <w:t>11.9</w:t>
            </w:r>
          </w:p>
        </w:tc>
        <w:tc>
          <w:tcPr>
            <w:tcW w:w="381" w:type="pct"/>
            <w:tcBorders>
              <w:top w:val="nil"/>
              <w:left w:val="nil"/>
              <w:bottom w:val="nil"/>
              <w:right w:val="nil"/>
            </w:tcBorders>
            <w:shd w:val="clear" w:color="auto" w:fill="auto"/>
            <w:noWrap/>
            <w:vAlign w:val="center"/>
            <w:hideMark/>
          </w:tcPr>
          <w:p w:rsidR="00407E05" w:rsidRPr="00407E05" w:rsidRDefault="00407E05" w:rsidP="00407E05">
            <w:pPr>
              <w:jc w:val="right"/>
              <w:rPr>
                <w:rFonts w:asciiTheme="minorHAnsi" w:eastAsia="Times New Roman" w:hAnsiTheme="minorHAnsi" w:cstheme="minorHAnsi"/>
                <w:sz w:val="18"/>
                <w:szCs w:val="18"/>
                <w:lang w:eastAsia="it-IT"/>
              </w:rPr>
            </w:pPr>
            <w:r w:rsidRPr="00407E05">
              <w:rPr>
                <w:rFonts w:asciiTheme="minorHAnsi" w:eastAsia="Times New Roman" w:hAnsiTheme="minorHAnsi" w:cstheme="minorHAnsi"/>
                <w:sz w:val="18"/>
                <w:szCs w:val="18"/>
                <w:lang w:eastAsia="it-IT"/>
              </w:rPr>
              <w:t>11.6</w:t>
            </w:r>
          </w:p>
        </w:tc>
      </w:tr>
      <w:tr w:rsidR="00407E05" w:rsidRPr="00407E05" w:rsidTr="00D4748D">
        <w:trPr>
          <w:trHeight w:val="300"/>
        </w:trPr>
        <w:tc>
          <w:tcPr>
            <w:tcW w:w="411" w:type="pct"/>
            <w:tcBorders>
              <w:top w:val="nil"/>
              <w:left w:val="nil"/>
              <w:bottom w:val="nil"/>
              <w:right w:val="nil"/>
            </w:tcBorders>
            <w:shd w:val="clear" w:color="auto" w:fill="auto"/>
            <w:noWrap/>
            <w:vAlign w:val="center"/>
            <w:hideMark/>
          </w:tcPr>
          <w:p w:rsidR="00407E05" w:rsidRPr="00407E05" w:rsidRDefault="00407E05" w:rsidP="00407E05">
            <w:pPr>
              <w:rPr>
                <w:rFonts w:asciiTheme="minorHAnsi" w:eastAsia="Times New Roman" w:hAnsiTheme="minorHAnsi" w:cstheme="minorHAnsi"/>
                <w:color w:val="000000"/>
                <w:sz w:val="18"/>
                <w:szCs w:val="18"/>
                <w:lang w:eastAsia="it-IT"/>
              </w:rPr>
            </w:pPr>
            <w:r w:rsidRPr="00407E05">
              <w:rPr>
                <w:rFonts w:asciiTheme="minorHAnsi" w:eastAsia="Times New Roman" w:hAnsiTheme="minorHAnsi" w:cstheme="minorHAnsi"/>
                <w:color w:val="000000"/>
                <w:sz w:val="18"/>
                <w:szCs w:val="18"/>
                <w:lang w:eastAsia="it-IT"/>
              </w:rPr>
              <w:t>55-64</w:t>
            </w:r>
          </w:p>
        </w:tc>
        <w:tc>
          <w:tcPr>
            <w:tcW w:w="382" w:type="pct"/>
            <w:tcBorders>
              <w:top w:val="nil"/>
              <w:left w:val="nil"/>
              <w:bottom w:val="nil"/>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color w:val="000000"/>
                <w:sz w:val="18"/>
                <w:szCs w:val="18"/>
                <w:lang w:eastAsia="it-IT"/>
              </w:rPr>
            </w:pPr>
            <w:r w:rsidRPr="00407E05">
              <w:rPr>
                <w:rFonts w:asciiTheme="minorHAnsi" w:eastAsia="Times New Roman" w:hAnsiTheme="minorHAnsi" w:cstheme="minorHAnsi"/>
                <w:color w:val="000000"/>
                <w:sz w:val="18"/>
                <w:szCs w:val="18"/>
                <w:lang w:eastAsia="it-IT"/>
              </w:rPr>
              <w:t>3.2</w:t>
            </w:r>
          </w:p>
        </w:tc>
        <w:tc>
          <w:tcPr>
            <w:tcW w:w="382" w:type="pct"/>
            <w:tcBorders>
              <w:top w:val="nil"/>
              <w:left w:val="nil"/>
              <w:bottom w:val="nil"/>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color w:val="000000"/>
                <w:sz w:val="18"/>
                <w:szCs w:val="18"/>
                <w:lang w:eastAsia="it-IT"/>
              </w:rPr>
            </w:pPr>
            <w:r w:rsidRPr="00407E05">
              <w:rPr>
                <w:rFonts w:asciiTheme="minorHAnsi" w:eastAsia="Times New Roman" w:hAnsiTheme="minorHAnsi" w:cstheme="minorHAnsi"/>
                <w:color w:val="000000"/>
                <w:sz w:val="18"/>
                <w:szCs w:val="18"/>
                <w:lang w:eastAsia="it-IT"/>
              </w:rPr>
              <w:t>4.6</w:t>
            </w:r>
          </w:p>
        </w:tc>
        <w:tc>
          <w:tcPr>
            <w:tcW w:w="382" w:type="pct"/>
            <w:tcBorders>
              <w:top w:val="nil"/>
              <w:left w:val="nil"/>
              <w:bottom w:val="nil"/>
              <w:right w:val="nil"/>
            </w:tcBorders>
            <w:shd w:val="clear" w:color="auto" w:fill="auto"/>
            <w:noWrap/>
            <w:vAlign w:val="center"/>
            <w:hideMark/>
          </w:tcPr>
          <w:p w:rsidR="00407E05" w:rsidRPr="00407E05" w:rsidRDefault="00407E05" w:rsidP="00407E05">
            <w:pPr>
              <w:jc w:val="right"/>
              <w:rPr>
                <w:rFonts w:asciiTheme="minorHAnsi" w:eastAsia="Times New Roman" w:hAnsiTheme="minorHAnsi" w:cstheme="minorHAnsi"/>
                <w:sz w:val="18"/>
                <w:szCs w:val="18"/>
                <w:lang w:eastAsia="it-IT"/>
              </w:rPr>
            </w:pPr>
            <w:r w:rsidRPr="00407E05">
              <w:rPr>
                <w:rFonts w:asciiTheme="minorHAnsi" w:eastAsia="Times New Roman" w:hAnsiTheme="minorHAnsi" w:cstheme="minorHAnsi"/>
                <w:sz w:val="18"/>
                <w:szCs w:val="18"/>
                <w:lang w:eastAsia="it-IT"/>
              </w:rPr>
              <w:t>3.6</w:t>
            </w:r>
          </w:p>
        </w:tc>
        <w:tc>
          <w:tcPr>
            <w:tcW w:w="382" w:type="pct"/>
            <w:tcBorders>
              <w:top w:val="nil"/>
              <w:left w:val="nil"/>
              <w:bottom w:val="nil"/>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color w:val="000000"/>
                <w:sz w:val="18"/>
                <w:szCs w:val="18"/>
                <w:lang w:eastAsia="it-IT"/>
              </w:rPr>
            </w:pPr>
            <w:r w:rsidRPr="00407E05">
              <w:rPr>
                <w:rFonts w:asciiTheme="minorHAnsi" w:eastAsia="Times New Roman" w:hAnsiTheme="minorHAnsi" w:cstheme="minorHAnsi"/>
                <w:color w:val="000000"/>
                <w:sz w:val="18"/>
                <w:szCs w:val="18"/>
                <w:lang w:eastAsia="it-IT"/>
              </w:rPr>
              <w:t>4.4</w:t>
            </w:r>
          </w:p>
        </w:tc>
        <w:tc>
          <w:tcPr>
            <w:tcW w:w="382" w:type="pct"/>
            <w:tcBorders>
              <w:top w:val="nil"/>
              <w:left w:val="nil"/>
              <w:bottom w:val="nil"/>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color w:val="000000"/>
                <w:sz w:val="18"/>
                <w:szCs w:val="18"/>
                <w:lang w:eastAsia="it-IT"/>
              </w:rPr>
            </w:pPr>
            <w:r w:rsidRPr="00407E05">
              <w:rPr>
                <w:rFonts w:asciiTheme="minorHAnsi" w:eastAsia="Times New Roman" w:hAnsiTheme="minorHAnsi" w:cstheme="minorHAnsi"/>
                <w:color w:val="000000"/>
                <w:sz w:val="18"/>
                <w:szCs w:val="18"/>
                <w:lang w:eastAsia="it-IT"/>
              </w:rPr>
              <w:t>5.5</w:t>
            </w:r>
          </w:p>
        </w:tc>
        <w:tc>
          <w:tcPr>
            <w:tcW w:w="382" w:type="pct"/>
            <w:tcBorders>
              <w:top w:val="nil"/>
              <w:left w:val="nil"/>
              <w:bottom w:val="nil"/>
              <w:right w:val="nil"/>
            </w:tcBorders>
            <w:shd w:val="clear" w:color="auto" w:fill="auto"/>
            <w:noWrap/>
            <w:vAlign w:val="center"/>
            <w:hideMark/>
          </w:tcPr>
          <w:p w:rsidR="00407E05" w:rsidRPr="00407E05" w:rsidRDefault="00407E05" w:rsidP="00407E05">
            <w:pPr>
              <w:jc w:val="right"/>
              <w:rPr>
                <w:rFonts w:asciiTheme="minorHAnsi" w:eastAsia="Times New Roman" w:hAnsiTheme="minorHAnsi" w:cstheme="minorHAnsi"/>
                <w:sz w:val="18"/>
                <w:szCs w:val="18"/>
                <w:lang w:eastAsia="it-IT"/>
              </w:rPr>
            </w:pPr>
            <w:r w:rsidRPr="00407E05">
              <w:rPr>
                <w:rFonts w:asciiTheme="minorHAnsi" w:eastAsia="Times New Roman" w:hAnsiTheme="minorHAnsi" w:cstheme="minorHAnsi"/>
                <w:sz w:val="18"/>
                <w:szCs w:val="18"/>
                <w:lang w:eastAsia="it-IT"/>
              </w:rPr>
              <w:t>6.9</w:t>
            </w:r>
          </w:p>
        </w:tc>
        <w:tc>
          <w:tcPr>
            <w:tcW w:w="382" w:type="pct"/>
            <w:tcBorders>
              <w:top w:val="nil"/>
              <w:left w:val="dashed" w:sz="8" w:space="0" w:color="1F497D"/>
              <w:bottom w:val="nil"/>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b/>
                <w:bCs/>
                <w:color w:val="1F497D"/>
                <w:sz w:val="18"/>
                <w:szCs w:val="18"/>
                <w:lang w:eastAsia="it-IT"/>
              </w:rPr>
            </w:pPr>
            <w:r w:rsidRPr="00407E05">
              <w:rPr>
                <w:rFonts w:asciiTheme="minorHAnsi" w:eastAsia="Times New Roman" w:hAnsiTheme="minorHAnsi" w:cstheme="minorHAnsi"/>
                <w:b/>
                <w:bCs/>
                <w:color w:val="1F497D"/>
                <w:sz w:val="18"/>
                <w:szCs w:val="18"/>
                <w:lang w:eastAsia="it-IT"/>
              </w:rPr>
              <w:t>17.6</w:t>
            </w:r>
          </w:p>
        </w:tc>
        <w:tc>
          <w:tcPr>
            <w:tcW w:w="382" w:type="pct"/>
            <w:tcBorders>
              <w:top w:val="nil"/>
              <w:left w:val="nil"/>
              <w:bottom w:val="nil"/>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b/>
                <w:bCs/>
                <w:color w:val="1F497D"/>
                <w:sz w:val="18"/>
                <w:szCs w:val="18"/>
                <w:lang w:eastAsia="it-IT"/>
              </w:rPr>
            </w:pPr>
            <w:r w:rsidRPr="00407E05">
              <w:rPr>
                <w:rFonts w:asciiTheme="minorHAnsi" w:eastAsia="Times New Roman" w:hAnsiTheme="minorHAnsi" w:cstheme="minorHAnsi"/>
                <w:b/>
                <w:bCs/>
                <w:color w:val="1F497D"/>
                <w:sz w:val="18"/>
                <w:szCs w:val="18"/>
                <w:lang w:eastAsia="it-IT"/>
              </w:rPr>
              <w:t>18.4</w:t>
            </w:r>
          </w:p>
        </w:tc>
        <w:tc>
          <w:tcPr>
            <w:tcW w:w="382" w:type="pct"/>
            <w:tcBorders>
              <w:top w:val="nil"/>
              <w:left w:val="nil"/>
              <w:bottom w:val="nil"/>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b/>
                <w:bCs/>
                <w:color w:val="1F497D"/>
                <w:sz w:val="18"/>
                <w:szCs w:val="18"/>
                <w:lang w:eastAsia="it-IT"/>
              </w:rPr>
            </w:pPr>
            <w:r w:rsidRPr="00407E05">
              <w:rPr>
                <w:rFonts w:asciiTheme="minorHAnsi" w:eastAsia="Times New Roman" w:hAnsiTheme="minorHAnsi" w:cstheme="minorHAnsi"/>
                <w:b/>
                <w:bCs/>
                <w:color w:val="1F497D"/>
                <w:sz w:val="18"/>
                <w:szCs w:val="18"/>
                <w:lang w:eastAsia="it-IT"/>
              </w:rPr>
              <w:t>19.2</w:t>
            </w:r>
          </w:p>
        </w:tc>
        <w:tc>
          <w:tcPr>
            <w:tcW w:w="382" w:type="pct"/>
            <w:tcBorders>
              <w:top w:val="nil"/>
              <w:left w:val="dashed" w:sz="8" w:space="0" w:color="1F497D"/>
              <w:bottom w:val="nil"/>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color w:val="000000"/>
                <w:sz w:val="18"/>
                <w:szCs w:val="18"/>
                <w:lang w:eastAsia="it-IT"/>
              </w:rPr>
            </w:pPr>
            <w:r w:rsidRPr="00407E05">
              <w:rPr>
                <w:rFonts w:asciiTheme="minorHAnsi" w:eastAsia="Times New Roman" w:hAnsiTheme="minorHAnsi" w:cstheme="minorHAnsi"/>
                <w:color w:val="000000"/>
                <w:sz w:val="18"/>
                <w:szCs w:val="18"/>
                <w:lang w:eastAsia="it-IT"/>
              </w:rPr>
              <w:t>8</w:t>
            </w:r>
          </w:p>
        </w:tc>
        <w:tc>
          <w:tcPr>
            <w:tcW w:w="382" w:type="pct"/>
            <w:tcBorders>
              <w:top w:val="nil"/>
              <w:left w:val="nil"/>
              <w:bottom w:val="nil"/>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color w:val="000000"/>
                <w:sz w:val="18"/>
                <w:szCs w:val="18"/>
                <w:lang w:eastAsia="it-IT"/>
              </w:rPr>
            </w:pPr>
            <w:r w:rsidRPr="00407E05">
              <w:rPr>
                <w:rFonts w:asciiTheme="minorHAnsi" w:eastAsia="Times New Roman" w:hAnsiTheme="minorHAnsi" w:cstheme="minorHAnsi"/>
                <w:color w:val="000000"/>
                <w:sz w:val="18"/>
                <w:szCs w:val="18"/>
                <w:lang w:eastAsia="it-IT"/>
              </w:rPr>
              <w:t>9</w:t>
            </w:r>
          </w:p>
        </w:tc>
        <w:tc>
          <w:tcPr>
            <w:tcW w:w="381" w:type="pct"/>
            <w:tcBorders>
              <w:top w:val="nil"/>
              <w:left w:val="nil"/>
              <w:bottom w:val="nil"/>
              <w:right w:val="nil"/>
            </w:tcBorders>
            <w:shd w:val="clear" w:color="auto" w:fill="auto"/>
            <w:noWrap/>
            <w:vAlign w:val="center"/>
            <w:hideMark/>
          </w:tcPr>
          <w:p w:rsidR="00407E05" w:rsidRPr="00407E05" w:rsidRDefault="00407E05" w:rsidP="00407E05">
            <w:pPr>
              <w:jc w:val="right"/>
              <w:rPr>
                <w:rFonts w:asciiTheme="minorHAnsi" w:eastAsia="Times New Roman" w:hAnsiTheme="minorHAnsi" w:cstheme="minorHAnsi"/>
                <w:sz w:val="18"/>
                <w:szCs w:val="18"/>
                <w:lang w:eastAsia="it-IT"/>
              </w:rPr>
            </w:pPr>
            <w:r w:rsidRPr="00407E05">
              <w:rPr>
                <w:rFonts w:asciiTheme="minorHAnsi" w:eastAsia="Times New Roman" w:hAnsiTheme="minorHAnsi" w:cstheme="minorHAnsi"/>
                <w:sz w:val="18"/>
                <w:szCs w:val="18"/>
                <w:lang w:eastAsia="it-IT"/>
              </w:rPr>
              <w:t>9.4</w:t>
            </w:r>
          </w:p>
        </w:tc>
      </w:tr>
      <w:tr w:rsidR="00407E05" w:rsidRPr="00407E05" w:rsidTr="00D4748D">
        <w:trPr>
          <w:trHeight w:val="300"/>
        </w:trPr>
        <w:tc>
          <w:tcPr>
            <w:tcW w:w="411" w:type="pct"/>
            <w:tcBorders>
              <w:top w:val="nil"/>
              <w:left w:val="nil"/>
              <w:bottom w:val="single" w:sz="4" w:space="0" w:color="auto"/>
              <w:right w:val="nil"/>
            </w:tcBorders>
            <w:shd w:val="clear" w:color="auto" w:fill="auto"/>
            <w:noWrap/>
            <w:vAlign w:val="center"/>
            <w:hideMark/>
          </w:tcPr>
          <w:p w:rsidR="00407E05" w:rsidRPr="00407E05" w:rsidRDefault="00CF36FD" w:rsidP="00CF36FD">
            <w:pPr>
              <w:jc w:val="left"/>
              <w:rPr>
                <w:rFonts w:asciiTheme="minorHAnsi" w:eastAsia="Times New Roman" w:hAnsiTheme="minorHAnsi" w:cstheme="minorHAnsi"/>
                <w:color w:val="000000"/>
                <w:sz w:val="18"/>
                <w:szCs w:val="18"/>
                <w:lang w:eastAsia="it-IT"/>
              </w:rPr>
            </w:pPr>
            <w:r>
              <w:rPr>
                <w:rFonts w:asciiTheme="minorHAnsi" w:eastAsia="Times New Roman" w:hAnsiTheme="minorHAnsi" w:cstheme="minorHAnsi"/>
                <w:color w:val="000000"/>
                <w:sz w:val="18"/>
                <w:szCs w:val="18"/>
                <w:lang w:eastAsia="it-IT"/>
              </w:rPr>
              <w:t>65 and over</w:t>
            </w:r>
          </w:p>
        </w:tc>
        <w:tc>
          <w:tcPr>
            <w:tcW w:w="382" w:type="pct"/>
            <w:tcBorders>
              <w:top w:val="nil"/>
              <w:left w:val="nil"/>
              <w:bottom w:val="single" w:sz="4" w:space="0" w:color="auto"/>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color w:val="000000"/>
                <w:sz w:val="18"/>
                <w:szCs w:val="18"/>
                <w:lang w:eastAsia="it-IT"/>
              </w:rPr>
            </w:pPr>
            <w:r w:rsidRPr="00407E05">
              <w:rPr>
                <w:rFonts w:asciiTheme="minorHAnsi" w:eastAsia="Times New Roman" w:hAnsiTheme="minorHAnsi" w:cstheme="minorHAnsi"/>
                <w:color w:val="000000"/>
                <w:sz w:val="18"/>
                <w:szCs w:val="18"/>
                <w:lang w:eastAsia="it-IT"/>
              </w:rPr>
              <w:t>3.3</w:t>
            </w:r>
          </w:p>
        </w:tc>
        <w:tc>
          <w:tcPr>
            <w:tcW w:w="382" w:type="pct"/>
            <w:tcBorders>
              <w:top w:val="nil"/>
              <w:left w:val="nil"/>
              <w:bottom w:val="single" w:sz="4" w:space="0" w:color="auto"/>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color w:val="000000"/>
                <w:sz w:val="18"/>
                <w:szCs w:val="18"/>
                <w:lang w:eastAsia="it-IT"/>
              </w:rPr>
            </w:pPr>
            <w:r w:rsidRPr="00407E05">
              <w:rPr>
                <w:rFonts w:asciiTheme="minorHAnsi" w:eastAsia="Times New Roman" w:hAnsiTheme="minorHAnsi" w:cstheme="minorHAnsi"/>
                <w:color w:val="000000"/>
                <w:sz w:val="18"/>
                <w:szCs w:val="18"/>
                <w:lang w:eastAsia="it-IT"/>
              </w:rPr>
              <w:t>3.1</w:t>
            </w:r>
          </w:p>
        </w:tc>
        <w:tc>
          <w:tcPr>
            <w:tcW w:w="382" w:type="pct"/>
            <w:tcBorders>
              <w:top w:val="nil"/>
              <w:left w:val="nil"/>
              <w:bottom w:val="single" w:sz="4" w:space="0" w:color="auto"/>
              <w:right w:val="nil"/>
            </w:tcBorders>
            <w:shd w:val="clear" w:color="auto" w:fill="auto"/>
            <w:noWrap/>
            <w:vAlign w:val="center"/>
            <w:hideMark/>
          </w:tcPr>
          <w:p w:rsidR="00407E05" w:rsidRPr="00407E05" w:rsidRDefault="00407E05" w:rsidP="00407E05">
            <w:pPr>
              <w:jc w:val="right"/>
              <w:rPr>
                <w:rFonts w:asciiTheme="minorHAnsi" w:eastAsia="Times New Roman" w:hAnsiTheme="minorHAnsi" w:cstheme="minorHAnsi"/>
                <w:sz w:val="18"/>
                <w:szCs w:val="18"/>
                <w:lang w:eastAsia="it-IT"/>
              </w:rPr>
            </w:pPr>
            <w:r w:rsidRPr="00407E05">
              <w:rPr>
                <w:rFonts w:asciiTheme="minorHAnsi" w:eastAsia="Times New Roman" w:hAnsiTheme="minorHAnsi" w:cstheme="minorHAnsi"/>
                <w:sz w:val="18"/>
                <w:szCs w:val="18"/>
                <w:lang w:eastAsia="it-IT"/>
              </w:rPr>
              <w:t>3.3</w:t>
            </w:r>
          </w:p>
        </w:tc>
        <w:tc>
          <w:tcPr>
            <w:tcW w:w="382" w:type="pct"/>
            <w:tcBorders>
              <w:top w:val="nil"/>
              <w:left w:val="nil"/>
              <w:bottom w:val="single" w:sz="4" w:space="0" w:color="auto"/>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color w:val="000000"/>
                <w:sz w:val="18"/>
                <w:szCs w:val="18"/>
                <w:lang w:eastAsia="it-IT"/>
              </w:rPr>
            </w:pPr>
            <w:r w:rsidRPr="00407E05">
              <w:rPr>
                <w:rFonts w:asciiTheme="minorHAnsi" w:eastAsia="Times New Roman" w:hAnsiTheme="minorHAnsi" w:cstheme="minorHAnsi"/>
                <w:color w:val="000000"/>
                <w:sz w:val="18"/>
                <w:szCs w:val="18"/>
                <w:lang w:eastAsia="it-IT"/>
              </w:rPr>
              <w:t>4.1</w:t>
            </w:r>
          </w:p>
        </w:tc>
        <w:tc>
          <w:tcPr>
            <w:tcW w:w="382" w:type="pct"/>
            <w:tcBorders>
              <w:top w:val="nil"/>
              <w:left w:val="nil"/>
              <w:bottom w:val="single" w:sz="4" w:space="0" w:color="auto"/>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color w:val="000000"/>
                <w:sz w:val="18"/>
                <w:szCs w:val="18"/>
                <w:lang w:eastAsia="it-IT"/>
              </w:rPr>
            </w:pPr>
            <w:r w:rsidRPr="00407E05">
              <w:rPr>
                <w:rFonts w:asciiTheme="minorHAnsi" w:eastAsia="Times New Roman" w:hAnsiTheme="minorHAnsi" w:cstheme="minorHAnsi"/>
                <w:color w:val="000000"/>
                <w:sz w:val="18"/>
                <w:szCs w:val="18"/>
                <w:lang w:eastAsia="it-IT"/>
              </w:rPr>
              <w:t>3</w:t>
            </w:r>
          </w:p>
        </w:tc>
        <w:tc>
          <w:tcPr>
            <w:tcW w:w="382" w:type="pct"/>
            <w:tcBorders>
              <w:top w:val="nil"/>
              <w:left w:val="nil"/>
              <w:bottom w:val="single" w:sz="4" w:space="0" w:color="auto"/>
              <w:right w:val="nil"/>
            </w:tcBorders>
            <w:shd w:val="clear" w:color="auto" w:fill="auto"/>
            <w:noWrap/>
            <w:vAlign w:val="center"/>
            <w:hideMark/>
          </w:tcPr>
          <w:p w:rsidR="00407E05" w:rsidRPr="00407E05" w:rsidRDefault="00407E05" w:rsidP="00407E05">
            <w:pPr>
              <w:jc w:val="right"/>
              <w:rPr>
                <w:rFonts w:asciiTheme="minorHAnsi" w:eastAsia="Times New Roman" w:hAnsiTheme="minorHAnsi" w:cstheme="minorHAnsi"/>
                <w:sz w:val="18"/>
                <w:szCs w:val="18"/>
                <w:lang w:eastAsia="it-IT"/>
              </w:rPr>
            </w:pPr>
            <w:r w:rsidRPr="00407E05">
              <w:rPr>
                <w:rFonts w:asciiTheme="minorHAnsi" w:eastAsia="Times New Roman" w:hAnsiTheme="minorHAnsi" w:cstheme="minorHAnsi"/>
                <w:sz w:val="18"/>
                <w:szCs w:val="18"/>
                <w:lang w:eastAsia="it-IT"/>
              </w:rPr>
              <w:t>4.2</w:t>
            </w:r>
          </w:p>
        </w:tc>
        <w:tc>
          <w:tcPr>
            <w:tcW w:w="382" w:type="pct"/>
            <w:tcBorders>
              <w:top w:val="nil"/>
              <w:left w:val="dashed" w:sz="8" w:space="0" w:color="1F497D"/>
              <w:bottom w:val="single" w:sz="4" w:space="0" w:color="auto"/>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b/>
                <w:bCs/>
                <w:color w:val="1F497D"/>
                <w:sz w:val="18"/>
                <w:szCs w:val="18"/>
                <w:lang w:eastAsia="it-IT"/>
              </w:rPr>
            </w:pPr>
            <w:r w:rsidRPr="00407E05">
              <w:rPr>
                <w:rFonts w:asciiTheme="minorHAnsi" w:eastAsia="Times New Roman" w:hAnsiTheme="minorHAnsi" w:cstheme="minorHAnsi"/>
                <w:b/>
                <w:bCs/>
                <w:color w:val="1F497D"/>
                <w:sz w:val="18"/>
                <w:szCs w:val="18"/>
                <w:lang w:eastAsia="it-IT"/>
              </w:rPr>
              <w:t>21.5</w:t>
            </w:r>
          </w:p>
        </w:tc>
        <w:tc>
          <w:tcPr>
            <w:tcW w:w="382" w:type="pct"/>
            <w:tcBorders>
              <w:top w:val="nil"/>
              <w:left w:val="nil"/>
              <w:bottom w:val="single" w:sz="4" w:space="0" w:color="auto"/>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b/>
                <w:bCs/>
                <w:color w:val="1F497D"/>
                <w:sz w:val="18"/>
                <w:szCs w:val="18"/>
                <w:lang w:eastAsia="it-IT"/>
              </w:rPr>
            </w:pPr>
            <w:r w:rsidRPr="00407E05">
              <w:rPr>
                <w:rFonts w:asciiTheme="minorHAnsi" w:eastAsia="Times New Roman" w:hAnsiTheme="minorHAnsi" w:cstheme="minorHAnsi"/>
                <w:b/>
                <w:bCs/>
                <w:color w:val="1F497D"/>
                <w:sz w:val="18"/>
                <w:szCs w:val="18"/>
                <w:lang w:eastAsia="it-IT"/>
              </w:rPr>
              <w:t>18.2</w:t>
            </w:r>
          </w:p>
        </w:tc>
        <w:tc>
          <w:tcPr>
            <w:tcW w:w="382" w:type="pct"/>
            <w:tcBorders>
              <w:top w:val="nil"/>
              <w:left w:val="nil"/>
              <w:bottom w:val="single" w:sz="4" w:space="0" w:color="auto"/>
              <w:right w:val="dashed" w:sz="8" w:space="0" w:color="1F497D"/>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b/>
                <w:bCs/>
                <w:color w:val="1F497D"/>
                <w:sz w:val="18"/>
                <w:szCs w:val="18"/>
                <w:lang w:eastAsia="it-IT"/>
              </w:rPr>
            </w:pPr>
            <w:r w:rsidRPr="00407E05">
              <w:rPr>
                <w:rFonts w:asciiTheme="minorHAnsi" w:eastAsia="Times New Roman" w:hAnsiTheme="minorHAnsi" w:cstheme="minorHAnsi"/>
                <w:b/>
                <w:bCs/>
                <w:color w:val="1F497D"/>
                <w:sz w:val="18"/>
                <w:szCs w:val="18"/>
                <w:lang w:eastAsia="it-IT"/>
              </w:rPr>
              <w:t>16.5</w:t>
            </w:r>
          </w:p>
        </w:tc>
        <w:tc>
          <w:tcPr>
            <w:tcW w:w="382" w:type="pct"/>
            <w:tcBorders>
              <w:top w:val="nil"/>
              <w:left w:val="nil"/>
              <w:bottom w:val="single" w:sz="4" w:space="0" w:color="auto"/>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color w:val="000000"/>
                <w:sz w:val="18"/>
                <w:szCs w:val="18"/>
                <w:lang w:eastAsia="it-IT"/>
              </w:rPr>
            </w:pPr>
            <w:r w:rsidRPr="00407E05">
              <w:rPr>
                <w:rFonts w:asciiTheme="minorHAnsi" w:eastAsia="Times New Roman" w:hAnsiTheme="minorHAnsi" w:cstheme="minorHAnsi"/>
                <w:color w:val="000000"/>
                <w:sz w:val="18"/>
                <w:szCs w:val="18"/>
                <w:lang w:eastAsia="it-IT"/>
              </w:rPr>
              <w:t>9.3</w:t>
            </w:r>
          </w:p>
        </w:tc>
        <w:tc>
          <w:tcPr>
            <w:tcW w:w="382" w:type="pct"/>
            <w:tcBorders>
              <w:top w:val="nil"/>
              <w:left w:val="nil"/>
              <w:bottom w:val="single" w:sz="4" w:space="0" w:color="auto"/>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color w:val="000000"/>
                <w:sz w:val="18"/>
                <w:szCs w:val="18"/>
                <w:lang w:eastAsia="it-IT"/>
              </w:rPr>
            </w:pPr>
            <w:r w:rsidRPr="00407E05">
              <w:rPr>
                <w:rFonts w:asciiTheme="minorHAnsi" w:eastAsia="Times New Roman" w:hAnsiTheme="minorHAnsi" w:cstheme="minorHAnsi"/>
                <w:color w:val="000000"/>
                <w:sz w:val="18"/>
                <w:szCs w:val="18"/>
                <w:lang w:eastAsia="it-IT"/>
              </w:rPr>
              <w:t>8</w:t>
            </w:r>
          </w:p>
        </w:tc>
        <w:tc>
          <w:tcPr>
            <w:tcW w:w="381" w:type="pct"/>
            <w:tcBorders>
              <w:top w:val="nil"/>
              <w:left w:val="nil"/>
              <w:bottom w:val="single" w:sz="4" w:space="0" w:color="auto"/>
              <w:right w:val="nil"/>
            </w:tcBorders>
            <w:shd w:val="clear" w:color="auto" w:fill="auto"/>
            <w:noWrap/>
            <w:vAlign w:val="center"/>
            <w:hideMark/>
          </w:tcPr>
          <w:p w:rsidR="00407E05" w:rsidRPr="00407E05" w:rsidRDefault="00407E05" w:rsidP="00407E05">
            <w:pPr>
              <w:jc w:val="right"/>
              <w:rPr>
                <w:rFonts w:asciiTheme="minorHAnsi" w:eastAsia="Times New Roman" w:hAnsiTheme="minorHAnsi" w:cstheme="minorHAnsi"/>
                <w:sz w:val="18"/>
                <w:szCs w:val="18"/>
                <w:lang w:eastAsia="it-IT"/>
              </w:rPr>
            </w:pPr>
            <w:r w:rsidRPr="00407E05">
              <w:rPr>
                <w:rFonts w:asciiTheme="minorHAnsi" w:eastAsia="Times New Roman" w:hAnsiTheme="minorHAnsi" w:cstheme="minorHAnsi"/>
                <w:sz w:val="18"/>
                <w:szCs w:val="18"/>
                <w:lang w:eastAsia="it-IT"/>
              </w:rPr>
              <w:t>7.9</w:t>
            </w:r>
          </w:p>
        </w:tc>
      </w:tr>
      <w:tr w:rsidR="00407E05" w:rsidRPr="00407E05" w:rsidTr="00D4748D">
        <w:trPr>
          <w:trHeight w:val="315"/>
        </w:trPr>
        <w:tc>
          <w:tcPr>
            <w:tcW w:w="411" w:type="pct"/>
            <w:tcBorders>
              <w:top w:val="nil"/>
              <w:left w:val="nil"/>
              <w:bottom w:val="single" w:sz="8" w:space="0" w:color="1F497D"/>
              <w:right w:val="nil"/>
            </w:tcBorders>
            <w:shd w:val="clear" w:color="auto" w:fill="auto"/>
            <w:noWrap/>
            <w:vAlign w:val="center"/>
            <w:hideMark/>
          </w:tcPr>
          <w:p w:rsidR="00407E05" w:rsidRPr="00407E05" w:rsidRDefault="00407E05" w:rsidP="00407E05">
            <w:pPr>
              <w:rPr>
                <w:rFonts w:asciiTheme="minorHAnsi" w:eastAsia="Times New Roman" w:hAnsiTheme="minorHAnsi" w:cstheme="minorHAnsi"/>
                <w:color w:val="000000"/>
                <w:sz w:val="18"/>
                <w:szCs w:val="18"/>
                <w:lang w:eastAsia="it-IT"/>
              </w:rPr>
            </w:pPr>
            <w:r w:rsidRPr="00407E05">
              <w:rPr>
                <w:rFonts w:asciiTheme="minorHAnsi" w:eastAsia="Times New Roman" w:hAnsiTheme="minorHAnsi" w:cstheme="minorHAnsi"/>
                <w:color w:val="000000"/>
                <w:sz w:val="18"/>
                <w:szCs w:val="18"/>
                <w:lang w:eastAsia="it-IT"/>
              </w:rPr>
              <w:t>Total</w:t>
            </w:r>
          </w:p>
        </w:tc>
        <w:tc>
          <w:tcPr>
            <w:tcW w:w="382" w:type="pct"/>
            <w:tcBorders>
              <w:top w:val="nil"/>
              <w:left w:val="nil"/>
              <w:bottom w:val="single" w:sz="8" w:space="0" w:color="1F497D"/>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color w:val="000000"/>
                <w:sz w:val="18"/>
                <w:szCs w:val="18"/>
                <w:lang w:eastAsia="it-IT"/>
              </w:rPr>
            </w:pPr>
            <w:r w:rsidRPr="00407E05">
              <w:rPr>
                <w:rFonts w:asciiTheme="minorHAnsi" w:eastAsia="Times New Roman" w:hAnsiTheme="minorHAnsi" w:cstheme="minorHAnsi"/>
                <w:color w:val="000000"/>
                <w:sz w:val="18"/>
                <w:szCs w:val="18"/>
                <w:lang w:eastAsia="it-IT"/>
              </w:rPr>
              <w:t>4.9</w:t>
            </w:r>
          </w:p>
        </w:tc>
        <w:tc>
          <w:tcPr>
            <w:tcW w:w="382" w:type="pct"/>
            <w:tcBorders>
              <w:top w:val="nil"/>
              <w:left w:val="nil"/>
              <w:bottom w:val="single" w:sz="8" w:space="0" w:color="1F497D"/>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color w:val="000000"/>
                <w:sz w:val="18"/>
                <w:szCs w:val="18"/>
                <w:lang w:eastAsia="it-IT"/>
              </w:rPr>
            </w:pPr>
            <w:r w:rsidRPr="00407E05">
              <w:rPr>
                <w:rFonts w:asciiTheme="minorHAnsi" w:eastAsia="Times New Roman" w:hAnsiTheme="minorHAnsi" w:cstheme="minorHAnsi"/>
                <w:color w:val="000000"/>
                <w:sz w:val="18"/>
                <w:szCs w:val="18"/>
                <w:lang w:eastAsia="it-IT"/>
              </w:rPr>
              <w:t>5.4</w:t>
            </w:r>
          </w:p>
        </w:tc>
        <w:tc>
          <w:tcPr>
            <w:tcW w:w="382" w:type="pct"/>
            <w:tcBorders>
              <w:top w:val="single" w:sz="4" w:space="0" w:color="auto"/>
              <w:bottom w:val="single" w:sz="4" w:space="0" w:color="auto"/>
            </w:tcBorders>
            <w:shd w:val="clear" w:color="auto" w:fill="auto"/>
            <w:noWrap/>
            <w:vAlign w:val="center"/>
            <w:hideMark/>
          </w:tcPr>
          <w:p w:rsidR="00407E05" w:rsidRPr="00407E05" w:rsidRDefault="00407E05" w:rsidP="00407E05">
            <w:pPr>
              <w:jc w:val="right"/>
              <w:rPr>
                <w:rFonts w:asciiTheme="minorHAnsi" w:eastAsia="Times New Roman" w:hAnsiTheme="minorHAnsi" w:cstheme="minorHAnsi"/>
                <w:sz w:val="18"/>
                <w:szCs w:val="18"/>
                <w:lang w:eastAsia="it-IT"/>
              </w:rPr>
            </w:pPr>
            <w:r w:rsidRPr="00407E05">
              <w:rPr>
                <w:rFonts w:asciiTheme="minorHAnsi" w:eastAsia="Times New Roman" w:hAnsiTheme="minorHAnsi" w:cstheme="minorHAnsi"/>
                <w:sz w:val="18"/>
                <w:szCs w:val="18"/>
                <w:lang w:eastAsia="it-IT"/>
              </w:rPr>
              <w:t>5.7</w:t>
            </w:r>
          </w:p>
        </w:tc>
        <w:tc>
          <w:tcPr>
            <w:tcW w:w="382" w:type="pct"/>
            <w:tcBorders>
              <w:top w:val="single" w:sz="4" w:space="0" w:color="auto"/>
              <w:bottom w:val="single" w:sz="4" w:space="0" w:color="auto"/>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color w:val="000000"/>
                <w:sz w:val="18"/>
                <w:szCs w:val="18"/>
                <w:lang w:eastAsia="it-IT"/>
              </w:rPr>
            </w:pPr>
            <w:r w:rsidRPr="00407E05">
              <w:rPr>
                <w:rFonts w:asciiTheme="minorHAnsi" w:eastAsia="Times New Roman" w:hAnsiTheme="minorHAnsi" w:cstheme="minorHAnsi"/>
                <w:color w:val="000000"/>
                <w:sz w:val="18"/>
                <w:szCs w:val="18"/>
                <w:lang w:eastAsia="it-IT"/>
              </w:rPr>
              <w:t>6.3</w:t>
            </w:r>
          </w:p>
        </w:tc>
        <w:tc>
          <w:tcPr>
            <w:tcW w:w="382" w:type="pct"/>
            <w:tcBorders>
              <w:top w:val="single" w:sz="4" w:space="0" w:color="auto"/>
              <w:bottom w:val="single" w:sz="4" w:space="0" w:color="auto"/>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color w:val="000000"/>
                <w:sz w:val="18"/>
                <w:szCs w:val="18"/>
                <w:lang w:eastAsia="it-IT"/>
              </w:rPr>
            </w:pPr>
            <w:r w:rsidRPr="00407E05">
              <w:rPr>
                <w:rFonts w:asciiTheme="minorHAnsi" w:eastAsia="Times New Roman" w:hAnsiTheme="minorHAnsi" w:cstheme="minorHAnsi"/>
                <w:color w:val="000000"/>
                <w:sz w:val="18"/>
                <w:szCs w:val="18"/>
                <w:lang w:eastAsia="it-IT"/>
              </w:rPr>
              <w:t>6.5</w:t>
            </w:r>
          </w:p>
        </w:tc>
        <w:tc>
          <w:tcPr>
            <w:tcW w:w="382" w:type="pct"/>
            <w:tcBorders>
              <w:top w:val="single" w:sz="4" w:space="0" w:color="auto"/>
              <w:bottom w:val="single" w:sz="4" w:space="0" w:color="auto"/>
            </w:tcBorders>
            <w:shd w:val="clear" w:color="auto" w:fill="auto"/>
            <w:noWrap/>
            <w:vAlign w:val="center"/>
            <w:hideMark/>
          </w:tcPr>
          <w:p w:rsidR="00407E05" w:rsidRPr="00407E05" w:rsidRDefault="00407E05" w:rsidP="00407E05">
            <w:pPr>
              <w:jc w:val="right"/>
              <w:rPr>
                <w:rFonts w:asciiTheme="minorHAnsi" w:eastAsia="Times New Roman" w:hAnsiTheme="minorHAnsi" w:cstheme="minorHAnsi"/>
                <w:sz w:val="18"/>
                <w:szCs w:val="18"/>
                <w:lang w:eastAsia="it-IT"/>
              </w:rPr>
            </w:pPr>
            <w:r w:rsidRPr="00407E05">
              <w:rPr>
                <w:rFonts w:asciiTheme="minorHAnsi" w:eastAsia="Times New Roman" w:hAnsiTheme="minorHAnsi" w:cstheme="minorHAnsi"/>
                <w:sz w:val="18"/>
                <w:szCs w:val="18"/>
                <w:lang w:eastAsia="it-IT"/>
              </w:rPr>
              <w:t>7.8</w:t>
            </w:r>
          </w:p>
        </w:tc>
        <w:tc>
          <w:tcPr>
            <w:tcW w:w="382" w:type="pct"/>
            <w:tcBorders>
              <w:top w:val="nil"/>
              <w:left w:val="nil"/>
              <w:bottom w:val="single" w:sz="8" w:space="0" w:color="1F497D"/>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b/>
                <w:bCs/>
                <w:color w:val="1F497D"/>
                <w:sz w:val="18"/>
                <w:szCs w:val="18"/>
                <w:lang w:eastAsia="it-IT"/>
              </w:rPr>
            </w:pPr>
            <w:r w:rsidRPr="00407E05">
              <w:rPr>
                <w:rFonts w:asciiTheme="minorHAnsi" w:eastAsia="Times New Roman" w:hAnsiTheme="minorHAnsi" w:cstheme="minorHAnsi"/>
                <w:b/>
                <w:bCs/>
                <w:color w:val="1F497D"/>
                <w:sz w:val="18"/>
                <w:szCs w:val="18"/>
                <w:lang w:eastAsia="it-IT"/>
              </w:rPr>
              <w:t>21.1</w:t>
            </w:r>
          </w:p>
        </w:tc>
        <w:tc>
          <w:tcPr>
            <w:tcW w:w="382" w:type="pct"/>
            <w:tcBorders>
              <w:top w:val="nil"/>
              <w:left w:val="nil"/>
              <w:bottom w:val="single" w:sz="8" w:space="0" w:color="1F497D"/>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b/>
                <w:bCs/>
                <w:color w:val="1F497D"/>
                <w:sz w:val="18"/>
                <w:szCs w:val="18"/>
                <w:lang w:eastAsia="it-IT"/>
              </w:rPr>
            </w:pPr>
            <w:r w:rsidRPr="00407E05">
              <w:rPr>
                <w:rFonts w:asciiTheme="minorHAnsi" w:eastAsia="Times New Roman" w:hAnsiTheme="minorHAnsi" w:cstheme="minorHAnsi"/>
                <w:b/>
                <w:bCs/>
                <w:color w:val="1F497D"/>
                <w:sz w:val="18"/>
                <w:szCs w:val="18"/>
                <w:lang w:eastAsia="it-IT"/>
              </w:rPr>
              <w:t>20.4</w:t>
            </w:r>
          </w:p>
        </w:tc>
        <w:tc>
          <w:tcPr>
            <w:tcW w:w="382" w:type="pct"/>
            <w:tcBorders>
              <w:top w:val="nil"/>
              <w:left w:val="nil"/>
              <w:bottom w:val="single" w:sz="8" w:space="0" w:color="1F497D"/>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b/>
                <w:bCs/>
                <w:color w:val="1F497D"/>
                <w:sz w:val="18"/>
                <w:szCs w:val="18"/>
                <w:lang w:eastAsia="it-IT"/>
              </w:rPr>
            </w:pPr>
            <w:r w:rsidRPr="00407E05">
              <w:rPr>
                <w:rFonts w:asciiTheme="minorHAnsi" w:eastAsia="Times New Roman" w:hAnsiTheme="minorHAnsi" w:cstheme="minorHAnsi"/>
                <w:b/>
                <w:bCs/>
                <w:color w:val="1F497D"/>
                <w:sz w:val="18"/>
                <w:szCs w:val="18"/>
                <w:lang w:eastAsia="it-IT"/>
              </w:rPr>
              <w:t>19.7</w:t>
            </w:r>
          </w:p>
        </w:tc>
        <w:tc>
          <w:tcPr>
            <w:tcW w:w="382" w:type="pct"/>
            <w:tcBorders>
              <w:top w:val="nil"/>
              <w:left w:val="dashed" w:sz="8" w:space="0" w:color="1F497D"/>
              <w:bottom w:val="single" w:sz="8" w:space="0" w:color="1F497D"/>
              <w:right w:val="nil"/>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color w:val="000000"/>
                <w:sz w:val="18"/>
                <w:szCs w:val="18"/>
                <w:lang w:eastAsia="it-IT"/>
              </w:rPr>
            </w:pPr>
            <w:r w:rsidRPr="00407E05">
              <w:rPr>
                <w:rFonts w:asciiTheme="minorHAnsi" w:eastAsia="Times New Roman" w:hAnsiTheme="minorHAnsi" w:cstheme="minorHAnsi"/>
                <w:color w:val="000000"/>
                <w:sz w:val="18"/>
                <w:szCs w:val="18"/>
                <w:lang w:eastAsia="it-IT"/>
              </w:rPr>
              <w:t>10.3</w:t>
            </w:r>
          </w:p>
        </w:tc>
        <w:tc>
          <w:tcPr>
            <w:tcW w:w="382" w:type="pct"/>
            <w:tcBorders>
              <w:top w:val="single" w:sz="4" w:space="0" w:color="auto"/>
              <w:left w:val="nil"/>
              <w:bottom w:val="single" w:sz="4" w:space="0" w:color="auto"/>
            </w:tcBorders>
            <w:shd w:val="clear" w:color="auto" w:fill="auto"/>
            <w:noWrap/>
            <w:vAlign w:val="center"/>
            <w:hideMark/>
          </w:tcPr>
          <w:p w:rsidR="00407E05" w:rsidRPr="00407E05" w:rsidRDefault="00407E05" w:rsidP="00407E05">
            <w:pPr>
              <w:jc w:val="center"/>
              <w:rPr>
                <w:rFonts w:asciiTheme="minorHAnsi" w:eastAsia="Times New Roman" w:hAnsiTheme="minorHAnsi" w:cstheme="minorHAnsi"/>
                <w:color w:val="000000"/>
                <w:sz w:val="18"/>
                <w:szCs w:val="18"/>
                <w:lang w:eastAsia="it-IT"/>
              </w:rPr>
            </w:pPr>
            <w:r w:rsidRPr="00407E05">
              <w:rPr>
                <w:rFonts w:asciiTheme="minorHAnsi" w:eastAsia="Times New Roman" w:hAnsiTheme="minorHAnsi" w:cstheme="minorHAnsi"/>
                <w:color w:val="000000"/>
                <w:sz w:val="18"/>
                <w:szCs w:val="18"/>
                <w:lang w:eastAsia="it-IT"/>
              </w:rPr>
              <w:t>10.4</w:t>
            </w:r>
          </w:p>
        </w:tc>
        <w:tc>
          <w:tcPr>
            <w:tcW w:w="381" w:type="pct"/>
            <w:tcBorders>
              <w:top w:val="single" w:sz="4" w:space="0" w:color="auto"/>
              <w:bottom w:val="single" w:sz="4" w:space="0" w:color="auto"/>
            </w:tcBorders>
            <w:shd w:val="clear" w:color="auto" w:fill="auto"/>
            <w:noWrap/>
            <w:vAlign w:val="center"/>
            <w:hideMark/>
          </w:tcPr>
          <w:p w:rsidR="00407E05" w:rsidRPr="00407E05" w:rsidRDefault="00407E05" w:rsidP="00407E05">
            <w:pPr>
              <w:jc w:val="right"/>
              <w:rPr>
                <w:rFonts w:asciiTheme="minorHAnsi" w:eastAsia="Times New Roman" w:hAnsiTheme="minorHAnsi" w:cstheme="minorHAnsi"/>
                <w:sz w:val="18"/>
                <w:szCs w:val="18"/>
                <w:lang w:eastAsia="it-IT"/>
              </w:rPr>
            </w:pPr>
            <w:r w:rsidRPr="00407E05">
              <w:rPr>
                <w:rFonts w:asciiTheme="minorHAnsi" w:eastAsia="Times New Roman" w:hAnsiTheme="minorHAnsi" w:cstheme="minorHAnsi"/>
                <w:sz w:val="18"/>
                <w:szCs w:val="18"/>
                <w:lang w:eastAsia="it-IT"/>
              </w:rPr>
              <w:t>10.6</w:t>
            </w:r>
          </w:p>
        </w:tc>
      </w:tr>
    </w:tbl>
    <w:p w:rsidR="00D4748D" w:rsidRPr="00D4748D" w:rsidRDefault="00D4748D" w:rsidP="00D4748D">
      <w:pPr>
        <w:spacing w:after="120"/>
        <w:rPr>
          <w:rFonts w:asciiTheme="majorHAnsi" w:hAnsiTheme="majorHAnsi"/>
          <w:sz w:val="18"/>
          <w:szCs w:val="18"/>
          <w:lang w:val="en-US"/>
        </w:rPr>
      </w:pPr>
      <w:r>
        <w:rPr>
          <w:rFonts w:asciiTheme="majorHAnsi" w:hAnsiTheme="majorHAnsi"/>
          <w:sz w:val="18"/>
          <w:szCs w:val="18"/>
          <w:lang w:val="en-US"/>
        </w:rPr>
        <w:t>Source</w:t>
      </w:r>
      <w:r w:rsidRPr="00D4748D">
        <w:rPr>
          <w:rFonts w:asciiTheme="majorHAnsi" w:hAnsiTheme="majorHAnsi"/>
          <w:sz w:val="18"/>
          <w:szCs w:val="18"/>
          <w:lang w:val="en-US"/>
        </w:rPr>
        <w:t xml:space="preserve">: Confindustria and SRM elaborations on </w:t>
      </w:r>
      <w:proofErr w:type="spellStart"/>
      <w:r>
        <w:rPr>
          <w:rFonts w:asciiTheme="majorHAnsi" w:hAnsiTheme="majorHAnsi"/>
          <w:sz w:val="18"/>
          <w:szCs w:val="18"/>
          <w:lang w:val="en-US"/>
        </w:rPr>
        <w:t>Istat</w:t>
      </w:r>
      <w:proofErr w:type="spellEnd"/>
      <w:r w:rsidRPr="00D4748D">
        <w:rPr>
          <w:rFonts w:asciiTheme="majorHAnsi" w:hAnsiTheme="majorHAnsi"/>
          <w:sz w:val="18"/>
          <w:szCs w:val="18"/>
          <w:lang w:val="en-US"/>
        </w:rPr>
        <w:t xml:space="preserve"> data</w:t>
      </w:r>
    </w:p>
    <w:p w:rsidR="009156C0" w:rsidRPr="00D4748D" w:rsidRDefault="009156C0" w:rsidP="00432E86">
      <w:pPr>
        <w:shd w:val="clear" w:color="auto" w:fill="FFFFFF"/>
        <w:spacing w:after="120"/>
        <w:rPr>
          <w:rFonts w:ascii="HelveticaLTStd-Cond" w:hAnsi="HelveticaLTStd-Cond" w:cs="HelveticaLTStd-Cond"/>
          <w:sz w:val="18"/>
          <w:szCs w:val="18"/>
          <w:lang w:val="en-US" w:eastAsia="it-IT"/>
        </w:rPr>
      </w:pPr>
    </w:p>
    <w:p w:rsidR="009156C0" w:rsidRPr="00D4748D" w:rsidRDefault="009156C0" w:rsidP="00432E86">
      <w:pPr>
        <w:shd w:val="clear" w:color="auto" w:fill="FFFFFF"/>
        <w:spacing w:after="120"/>
        <w:rPr>
          <w:rFonts w:ascii="HelveticaLTStd-Cond" w:hAnsi="HelveticaLTStd-Cond" w:cs="HelveticaLTStd-Cond"/>
          <w:sz w:val="18"/>
          <w:szCs w:val="18"/>
          <w:lang w:val="en-US" w:eastAsia="it-IT"/>
        </w:rPr>
      </w:pPr>
    </w:p>
    <w:sectPr w:rsidR="009156C0" w:rsidRPr="00D4748D" w:rsidSect="007F4FFE">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911" w:rsidRDefault="00147911" w:rsidP="00B96E5E">
      <w:r>
        <w:separator/>
      </w:r>
    </w:p>
  </w:endnote>
  <w:endnote w:type="continuationSeparator" w:id="0">
    <w:p w:rsidR="00147911" w:rsidRDefault="00147911" w:rsidP="00B9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LTStd-Con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48D" w:rsidRDefault="00D4748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911" w:rsidRDefault="00147911" w:rsidP="00B96E5E">
      <w:r>
        <w:separator/>
      </w:r>
    </w:p>
  </w:footnote>
  <w:footnote w:type="continuationSeparator" w:id="0">
    <w:p w:rsidR="00147911" w:rsidRDefault="00147911" w:rsidP="00B96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80549"/>
    <w:multiLevelType w:val="hybridMultilevel"/>
    <w:tmpl w:val="9AAEA3EC"/>
    <w:lvl w:ilvl="0" w:tplc="862E2576">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68B2CA1"/>
    <w:multiLevelType w:val="hybridMultilevel"/>
    <w:tmpl w:val="62AA71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C702AE5"/>
    <w:multiLevelType w:val="hybridMultilevel"/>
    <w:tmpl w:val="11649662"/>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38"/>
    <w:rsid w:val="00000464"/>
    <w:rsid w:val="00000703"/>
    <w:rsid w:val="00000B81"/>
    <w:rsid w:val="00001914"/>
    <w:rsid w:val="00001AE4"/>
    <w:rsid w:val="00001AF8"/>
    <w:rsid w:val="00001FCF"/>
    <w:rsid w:val="00002B2D"/>
    <w:rsid w:val="00003BF8"/>
    <w:rsid w:val="00003FB9"/>
    <w:rsid w:val="00004002"/>
    <w:rsid w:val="00005088"/>
    <w:rsid w:val="0000592C"/>
    <w:rsid w:val="00005B6A"/>
    <w:rsid w:val="00005C34"/>
    <w:rsid w:val="00007286"/>
    <w:rsid w:val="000101F6"/>
    <w:rsid w:val="00011005"/>
    <w:rsid w:val="00011DF5"/>
    <w:rsid w:val="00012141"/>
    <w:rsid w:val="000126A2"/>
    <w:rsid w:val="0001332A"/>
    <w:rsid w:val="000136AF"/>
    <w:rsid w:val="00014D9B"/>
    <w:rsid w:val="000170A1"/>
    <w:rsid w:val="000229E5"/>
    <w:rsid w:val="00022B33"/>
    <w:rsid w:val="00022BA2"/>
    <w:rsid w:val="00022BCC"/>
    <w:rsid w:val="000230AD"/>
    <w:rsid w:val="000236DC"/>
    <w:rsid w:val="00023D76"/>
    <w:rsid w:val="000248D3"/>
    <w:rsid w:val="000259EC"/>
    <w:rsid w:val="0002647D"/>
    <w:rsid w:val="00027742"/>
    <w:rsid w:val="00027AA0"/>
    <w:rsid w:val="000312FE"/>
    <w:rsid w:val="00032498"/>
    <w:rsid w:val="00035BB5"/>
    <w:rsid w:val="00035EFC"/>
    <w:rsid w:val="000365DA"/>
    <w:rsid w:val="0004081D"/>
    <w:rsid w:val="00041EDD"/>
    <w:rsid w:val="000436EA"/>
    <w:rsid w:val="00043901"/>
    <w:rsid w:val="00043F24"/>
    <w:rsid w:val="000441C6"/>
    <w:rsid w:val="0004507F"/>
    <w:rsid w:val="00045A0B"/>
    <w:rsid w:val="0004677B"/>
    <w:rsid w:val="00046A08"/>
    <w:rsid w:val="00050372"/>
    <w:rsid w:val="00050C50"/>
    <w:rsid w:val="000514F0"/>
    <w:rsid w:val="0005203E"/>
    <w:rsid w:val="00052849"/>
    <w:rsid w:val="00054018"/>
    <w:rsid w:val="000547FF"/>
    <w:rsid w:val="0005542C"/>
    <w:rsid w:val="0005577E"/>
    <w:rsid w:val="00056343"/>
    <w:rsid w:val="00057856"/>
    <w:rsid w:val="00060925"/>
    <w:rsid w:val="00060AEA"/>
    <w:rsid w:val="00061075"/>
    <w:rsid w:val="000614C4"/>
    <w:rsid w:val="00061F7A"/>
    <w:rsid w:val="00062789"/>
    <w:rsid w:val="00063BFD"/>
    <w:rsid w:val="00064526"/>
    <w:rsid w:val="00064B9F"/>
    <w:rsid w:val="00064EBD"/>
    <w:rsid w:val="00065542"/>
    <w:rsid w:val="00065F57"/>
    <w:rsid w:val="0006602E"/>
    <w:rsid w:val="000661EA"/>
    <w:rsid w:val="0006649B"/>
    <w:rsid w:val="00066B88"/>
    <w:rsid w:val="00067546"/>
    <w:rsid w:val="000730C6"/>
    <w:rsid w:val="000740F3"/>
    <w:rsid w:val="000774AA"/>
    <w:rsid w:val="00080503"/>
    <w:rsid w:val="00082585"/>
    <w:rsid w:val="000837B0"/>
    <w:rsid w:val="00084993"/>
    <w:rsid w:val="00084A72"/>
    <w:rsid w:val="00084B34"/>
    <w:rsid w:val="00084C8C"/>
    <w:rsid w:val="00085BCE"/>
    <w:rsid w:val="000872D2"/>
    <w:rsid w:val="0008742C"/>
    <w:rsid w:val="00087CD9"/>
    <w:rsid w:val="00090884"/>
    <w:rsid w:val="000908A2"/>
    <w:rsid w:val="00090BB3"/>
    <w:rsid w:val="000911BE"/>
    <w:rsid w:val="000911D3"/>
    <w:rsid w:val="00091F4D"/>
    <w:rsid w:val="00093C8A"/>
    <w:rsid w:val="00095012"/>
    <w:rsid w:val="00095BE0"/>
    <w:rsid w:val="00095E8A"/>
    <w:rsid w:val="00095FB1"/>
    <w:rsid w:val="00096144"/>
    <w:rsid w:val="000975AD"/>
    <w:rsid w:val="000A0E39"/>
    <w:rsid w:val="000A0F36"/>
    <w:rsid w:val="000A20B3"/>
    <w:rsid w:val="000A21F4"/>
    <w:rsid w:val="000A2874"/>
    <w:rsid w:val="000A2B23"/>
    <w:rsid w:val="000A30FB"/>
    <w:rsid w:val="000A3171"/>
    <w:rsid w:val="000A44D7"/>
    <w:rsid w:val="000A4AAC"/>
    <w:rsid w:val="000A4C99"/>
    <w:rsid w:val="000A5D19"/>
    <w:rsid w:val="000A6AB8"/>
    <w:rsid w:val="000B04E2"/>
    <w:rsid w:val="000B0647"/>
    <w:rsid w:val="000B1737"/>
    <w:rsid w:val="000B1F91"/>
    <w:rsid w:val="000B3529"/>
    <w:rsid w:val="000B409C"/>
    <w:rsid w:val="000B4C36"/>
    <w:rsid w:val="000B4E6A"/>
    <w:rsid w:val="000B5748"/>
    <w:rsid w:val="000B61F2"/>
    <w:rsid w:val="000C0BB3"/>
    <w:rsid w:val="000C1664"/>
    <w:rsid w:val="000C2311"/>
    <w:rsid w:val="000C24C0"/>
    <w:rsid w:val="000C2904"/>
    <w:rsid w:val="000C5A12"/>
    <w:rsid w:val="000C5C8D"/>
    <w:rsid w:val="000C604E"/>
    <w:rsid w:val="000C64F4"/>
    <w:rsid w:val="000C7F03"/>
    <w:rsid w:val="000D1115"/>
    <w:rsid w:val="000D1FC7"/>
    <w:rsid w:val="000D25F0"/>
    <w:rsid w:val="000D36D3"/>
    <w:rsid w:val="000D39DE"/>
    <w:rsid w:val="000D3BEB"/>
    <w:rsid w:val="000D3C51"/>
    <w:rsid w:val="000D4888"/>
    <w:rsid w:val="000D4DAA"/>
    <w:rsid w:val="000D62FA"/>
    <w:rsid w:val="000D66CA"/>
    <w:rsid w:val="000D69FB"/>
    <w:rsid w:val="000D6C02"/>
    <w:rsid w:val="000E1248"/>
    <w:rsid w:val="000E3EE3"/>
    <w:rsid w:val="000E5711"/>
    <w:rsid w:val="000E6305"/>
    <w:rsid w:val="000E6BFA"/>
    <w:rsid w:val="000F15CB"/>
    <w:rsid w:val="000F41F0"/>
    <w:rsid w:val="000F4DA3"/>
    <w:rsid w:val="000F6569"/>
    <w:rsid w:val="000F6C7A"/>
    <w:rsid w:val="000F7480"/>
    <w:rsid w:val="000F76EC"/>
    <w:rsid w:val="00102BD0"/>
    <w:rsid w:val="001041E7"/>
    <w:rsid w:val="001059F6"/>
    <w:rsid w:val="00111C9D"/>
    <w:rsid w:val="00111F13"/>
    <w:rsid w:val="00111FC2"/>
    <w:rsid w:val="001139BA"/>
    <w:rsid w:val="001145D1"/>
    <w:rsid w:val="0011462A"/>
    <w:rsid w:val="001156DC"/>
    <w:rsid w:val="00117862"/>
    <w:rsid w:val="001202F8"/>
    <w:rsid w:val="00120D08"/>
    <w:rsid w:val="00120F5B"/>
    <w:rsid w:val="00121889"/>
    <w:rsid w:val="00121E18"/>
    <w:rsid w:val="00122D97"/>
    <w:rsid w:val="00124B36"/>
    <w:rsid w:val="0012566D"/>
    <w:rsid w:val="00126308"/>
    <w:rsid w:val="00126618"/>
    <w:rsid w:val="00126C42"/>
    <w:rsid w:val="00126D49"/>
    <w:rsid w:val="00130E0A"/>
    <w:rsid w:val="0013192C"/>
    <w:rsid w:val="001333B6"/>
    <w:rsid w:val="001363B9"/>
    <w:rsid w:val="001364F2"/>
    <w:rsid w:val="00137165"/>
    <w:rsid w:val="001378B2"/>
    <w:rsid w:val="00140BEE"/>
    <w:rsid w:val="00143158"/>
    <w:rsid w:val="00143519"/>
    <w:rsid w:val="00144D2E"/>
    <w:rsid w:val="001461CD"/>
    <w:rsid w:val="00147911"/>
    <w:rsid w:val="0015119A"/>
    <w:rsid w:val="00151D38"/>
    <w:rsid w:val="001525D0"/>
    <w:rsid w:val="00152B26"/>
    <w:rsid w:val="00154137"/>
    <w:rsid w:val="00154A05"/>
    <w:rsid w:val="00154DD9"/>
    <w:rsid w:val="00154F75"/>
    <w:rsid w:val="00155367"/>
    <w:rsid w:val="00156480"/>
    <w:rsid w:val="001568DA"/>
    <w:rsid w:val="00157539"/>
    <w:rsid w:val="00160C83"/>
    <w:rsid w:val="001617B6"/>
    <w:rsid w:val="00161B0D"/>
    <w:rsid w:val="00161D15"/>
    <w:rsid w:val="00162DA5"/>
    <w:rsid w:val="00162E00"/>
    <w:rsid w:val="00163447"/>
    <w:rsid w:val="00163D3E"/>
    <w:rsid w:val="00164EBB"/>
    <w:rsid w:val="001655B8"/>
    <w:rsid w:val="00165746"/>
    <w:rsid w:val="00166276"/>
    <w:rsid w:val="0016664A"/>
    <w:rsid w:val="00166673"/>
    <w:rsid w:val="00166F81"/>
    <w:rsid w:val="00167304"/>
    <w:rsid w:val="001675F9"/>
    <w:rsid w:val="001710BF"/>
    <w:rsid w:val="00171878"/>
    <w:rsid w:val="00172006"/>
    <w:rsid w:val="00172202"/>
    <w:rsid w:val="0017283A"/>
    <w:rsid w:val="00173710"/>
    <w:rsid w:val="0017460E"/>
    <w:rsid w:val="00174970"/>
    <w:rsid w:val="001755CA"/>
    <w:rsid w:val="001760C5"/>
    <w:rsid w:val="001766DE"/>
    <w:rsid w:val="00176951"/>
    <w:rsid w:val="00177146"/>
    <w:rsid w:val="00177210"/>
    <w:rsid w:val="001774DC"/>
    <w:rsid w:val="001775D8"/>
    <w:rsid w:val="00177E31"/>
    <w:rsid w:val="00182D51"/>
    <w:rsid w:val="00183B3C"/>
    <w:rsid w:val="00184188"/>
    <w:rsid w:val="00184888"/>
    <w:rsid w:val="00184C74"/>
    <w:rsid w:val="0018517D"/>
    <w:rsid w:val="001878C5"/>
    <w:rsid w:val="0019091C"/>
    <w:rsid w:val="0019103D"/>
    <w:rsid w:val="001913A7"/>
    <w:rsid w:val="00192397"/>
    <w:rsid w:val="001961EE"/>
    <w:rsid w:val="001964B3"/>
    <w:rsid w:val="0019680A"/>
    <w:rsid w:val="001971F4"/>
    <w:rsid w:val="001973CB"/>
    <w:rsid w:val="00197DAF"/>
    <w:rsid w:val="001A01C0"/>
    <w:rsid w:val="001A09F5"/>
    <w:rsid w:val="001A137D"/>
    <w:rsid w:val="001A163D"/>
    <w:rsid w:val="001A16AA"/>
    <w:rsid w:val="001A2C85"/>
    <w:rsid w:val="001A3E56"/>
    <w:rsid w:val="001A49A9"/>
    <w:rsid w:val="001A6197"/>
    <w:rsid w:val="001A695D"/>
    <w:rsid w:val="001A6EE8"/>
    <w:rsid w:val="001A74B0"/>
    <w:rsid w:val="001A768E"/>
    <w:rsid w:val="001B0AB0"/>
    <w:rsid w:val="001B19C0"/>
    <w:rsid w:val="001B1F12"/>
    <w:rsid w:val="001B2CB7"/>
    <w:rsid w:val="001B38B0"/>
    <w:rsid w:val="001B3C83"/>
    <w:rsid w:val="001B40C9"/>
    <w:rsid w:val="001B4338"/>
    <w:rsid w:val="001B473F"/>
    <w:rsid w:val="001B54EC"/>
    <w:rsid w:val="001B6A8C"/>
    <w:rsid w:val="001B6FC9"/>
    <w:rsid w:val="001B7826"/>
    <w:rsid w:val="001B7D7C"/>
    <w:rsid w:val="001C18B9"/>
    <w:rsid w:val="001C1C16"/>
    <w:rsid w:val="001C1D99"/>
    <w:rsid w:val="001C3000"/>
    <w:rsid w:val="001C40C5"/>
    <w:rsid w:val="001C418B"/>
    <w:rsid w:val="001C533C"/>
    <w:rsid w:val="001C5421"/>
    <w:rsid w:val="001C5821"/>
    <w:rsid w:val="001C66B4"/>
    <w:rsid w:val="001C6D59"/>
    <w:rsid w:val="001D03F7"/>
    <w:rsid w:val="001D048B"/>
    <w:rsid w:val="001D065A"/>
    <w:rsid w:val="001D42D3"/>
    <w:rsid w:val="001D5B1B"/>
    <w:rsid w:val="001D5E49"/>
    <w:rsid w:val="001E006F"/>
    <w:rsid w:val="001E1459"/>
    <w:rsid w:val="001E1E0E"/>
    <w:rsid w:val="001E3463"/>
    <w:rsid w:val="001E372F"/>
    <w:rsid w:val="001E3D27"/>
    <w:rsid w:val="001E46B6"/>
    <w:rsid w:val="001E4C47"/>
    <w:rsid w:val="001E5254"/>
    <w:rsid w:val="001E6304"/>
    <w:rsid w:val="001E6B18"/>
    <w:rsid w:val="001F0B79"/>
    <w:rsid w:val="001F18F6"/>
    <w:rsid w:val="001F24B5"/>
    <w:rsid w:val="001F2989"/>
    <w:rsid w:val="001F3859"/>
    <w:rsid w:val="001F3E2E"/>
    <w:rsid w:val="001F4258"/>
    <w:rsid w:val="001F42FC"/>
    <w:rsid w:val="001F4636"/>
    <w:rsid w:val="001F4E46"/>
    <w:rsid w:val="001F501F"/>
    <w:rsid w:val="001F6123"/>
    <w:rsid w:val="001F66AC"/>
    <w:rsid w:val="001F6DD3"/>
    <w:rsid w:val="002000E6"/>
    <w:rsid w:val="00201918"/>
    <w:rsid w:val="00201BE8"/>
    <w:rsid w:val="00201DCA"/>
    <w:rsid w:val="0020302E"/>
    <w:rsid w:val="002030D3"/>
    <w:rsid w:val="00203A85"/>
    <w:rsid w:val="002042A4"/>
    <w:rsid w:val="002046BB"/>
    <w:rsid w:val="002056D7"/>
    <w:rsid w:val="00206AA7"/>
    <w:rsid w:val="00206AD2"/>
    <w:rsid w:val="00206BCA"/>
    <w:rsid w:val="00206CDD"/>
    <w:rsid w:val="002127DD"/>
    <w:rsid w:val="002151E4"/>
    <w:rsid w:val="00216CAC"/>
    <w:rsid w:val="002175B1"/>
    <w:rsid w:val="00217754"/>
    <w:rsid w:val="002207C2"/>
    <w:rsid w:val="002208DC"/>
    <w:rsid w:val="00222466"/>
    <w:rsid w:val="00222CAD"/>
    <w:rsid w:val="00222F1B"/>
    <w:rsid w:val="00224D47"/>
    <w:rsid w:val="00225C19"/>
    <w:rsid w:val="00226043"/>
    <w:rsid w:val="002262DB"/>
    <w:rsid w:val="0022654D"/>
    <w:rsid w:val="002275D4"/>
    <w:rsid w:val="00230E9C"/>
    <w:rsid w:val="00230EF4"/>
    <w:rsid w:val="002310DF"/>
    <w:rsid w:val="002311EE"/>
    <w:rsid w:val="00231936"/>
    <w:rsid w:val="00232F40"/>
    <w:rsid w:val="0023422B"/>
    <w:rsid w:val="00234B9C"/>
    <w:rsid w:val="00234F4D"/>
    <w:rsid w:val="00235C81"/>
    <w:rsid w:val="00235EDE"/>
    <w:rsid w:val="002418B7"/>
    <w:rsid w:val="00241A91"/>
    <w:rsid w:val="00241DA8"/>
    <w:rsid w:val="00243793"/>
    <w:rsid w:val="00244EC7"/>
    <w:rsid w:val="00245880"/>
    <w:rsid w:val="002466DF"/>
    <w:rsid w:val="00246D3D"/>
    <w:rsid w:val="00247CD4"/>
    <w:rsid w:val="00247DE2"/>
    <w:rsid w:val="002503C4"/>
    <w:rsid w:val="00250A2B"/>
    <w:rsid w:val="00251E04"/>
    <w:rsid w:val="002530B7"/>
    <w:rsid w:val="002531A6"/>
    <w:rsid w:val="00254E57"/>
    <w:rsid w:val="00255D7E"/>
    <w:rsid w:val="002562FF"/>
    <w:rsid w:val="00256D99"/>
    <w:rsid w:val="00257DCC"/>
    <w:rsid w:val="00257E24"/>
    <w:rsid w:val="00260905"/>
    <w:rsid w:val="00260E29"/>
    <w:rsid w:val="00261853"/>
    <w:rsid w:val="00261897"/>
    <w:rsid w:val="0026203B"/>
    <w:rsid w:val="002642B4"/>
    <w:rsid w:val="00264380"/>
    <w:rsid w:val="00266172"/>
    <w:rsid w:val="00266DD0"/>
    <w:rsid w:val="00270401"/>
    <w:rsid w:val="0027286D"/>
    <w:rsid w:val="00272DC2"/>
    <w:rsid w:val="002734E6"/>
    <w:rsid w:val="002757A0"/>
    <w:rsid w:val="00275B38"/>
    <w:rsid w:val="00275DB1"/>
    <w:rsid w:val="002767FE"/>
    <w:rsid w:val="002768EF"/>
    <w:rsid w:val="00276D60"/>
    <w:rsid w:val="00277573"/>
    <w:rsid w:val="002775F3"/>
    <w:rsid w:val="0028053F"/>
    <w:rsid w:val="00280E25"/>
    <w:rsid w:val="002817C4"/>
    <w:rsid w:val="00281E5A"/>
    <w:rsid w:val="00282271"/>
    <w:rsid w:val="00283A4E"/>
    <w:rsid w:val="00283D04"/>
    <w:rsid w:val="002845DA"/>
    <w:rsid w:val="00285A0B"/>
    <w:rsid w:val="00285C32"/>
    <w:rsid w:val="002866BB"/>
    <w:rsid w:val="00286816"/>
    <w:rsid w:val="00287BCE"/>
    <w:rsid w:val="00287DC1"/>
    <w:rsid w:val="002910A7"/>
    <w:rsid w:val="002915AB"/>
    <w:rsid w:val="00291962"/>
    <w:rsid w:val="0029222B"/>
    <w:rsid w:val="00293109"/>
    <w:rsid w:val="00293A78"/>
    <w:rsid w:val="00293FD5"/>
    <w:rsid w:val="002948C9"/>
    <w:rsid w:val="00294C5F"/>
    <w:rsid w:val="00294CF8"/>
    <w:rsid w:val="00294E6B"/>
    <w:rsid w:val="0029585B"/>
    <w:rsid w:val="00295D34"/>
    <w:rsid w:val="00297084"/>
    <w:rsid w:val="00297159"/>
    <w:rsid w:val="00297249"/>
    <w:rsid w:val="002A0931"/>
    <w:rsid w:val="002A150B"/>
    <w:rsid w:val="002A1FAD"/>
    <w:rsid w:val="002A2206"/>
    <w:rsid w:val="002A29F8"/>
    <w:rsid w:val="002A45BE"/>
    <w:rsid w:val="002A4C87"/>
    <w:rsid w:val="002A53B7"/>
    <w:rsid w:val="002A577B"/>
    <w:rsid w:val="002A581B"/>
    <w:rsid w:val="002A5BFA"/>
    <w:rsid w:val="002A6A6D"/>
    <w:rsid w:val="002A79A7"/>
    <w:rsid w:val="002A7A62"/>
    <w:rsid w:val="002B0D80"/>
    <w:rsid w:val="002B178D"/>
    <w:rsid w:val="002B1C7C"/>
    <w:rsid w:val="002B24C2"/>
    <w:rsid w:val="002B2C55"/>
    <w:rsid w:val="002B32BD"/>
    <w:rsid w:val="002B5069"/>
    <w:rsid w:val="002B671E"/>
    <w:rsid w:val="002C436D"/>
    <w:rsid w:val="002C4DB7"/>
    <w:rsid w:val="002C52F3"/>
    <w:rsid w:val="002C52F8"/>
    <w:rsid w:val="002C744B"/>
    <w:rsid w:val="002D04A1"/>
    <w:rsid w:val="002D125A"/>
    <w:rsid w:val="002D1315"/>
    <w:rsid w:val="002D2067"/>
    <w:rsid w:val="002D20CF"/>
    <w:rsid w:val="002D271A"/>
    <w:rsid w:val="002D40DE"/>
    <w:rsid w:val="002D448C"/>
    <w:rsid w:val="002D52F0"/>
    <w:rsid w:val="002D61EE"/>
    <w:rsid w:val="002D750D"/>
    <w:rsid w:val="002D78D1"/>
    <w:rsid w:val="002D7AE8"/>
    <w:rsid w:val="002E1347"/>
    <w:rsid w:val="002E3AC0"/>
    <w:rsid w:val="002E3E1A"/>
    <w:rsid w:val="002E6188"/>
    <w:rsid w:val="002E672C"/>
    <w:rsid w:val="002E691F"/>
    <w:rsid w:val="002E6E47"/>
    <w:rsid w:val="002E6EA0"/>
    <w:rsid w:val="002E7B58"/>
    <w:rsid w:val="002E7BDC"/>
    <w:rsid w:val="002F0D42"/>
    <w:rsid w:val="002F11F8"/>
    <w:rsid w:val="002F152F"/>
    <w:rsid w:val="002F15BE"/>
    <w:rsid w:val="002F15E7"/>
    <w:rsid w:val="002F1624"/>
    <w:rsid w:val="002F21FE"/>
    <w:rsid w:val="002F26B1"/>
    <w:rsid w:val="002F3125"/>
    <w:rsid w:val="002F3522"/>
    <w:rsid w:val="002F3696"/>
    <w:rsid w:val="002F3867"/>
    <w:rsid w:val="002F41C3"/>
    <w:rsid w:val="002F4748"/>
    <w:rsid w:val="002F500C"/>
    <w:rsid w:val="002F5833"/>
    <w:rsid w:val="002F6518"/>
    <w:rsid w:val="003003E1"/>
    <w:rsid w:val="00301C02"/>
    <w:rsid w:val="00301FEF"/>
    <w:rsid w:val="0030203C"/>
    <w:rsid w:val="00302837"/>
    <w:rsid w:val="003029E3"/>
    <w:rsid w:val="00302E33"/>
    <w:rsid w:val="00303599"/>
    <w:rsid w:val="00305CCB"/>
    <w:rsid w:val="0030680C"/>
    <w:rsid w:val="00310376"/>
    <w:rsid w:val="00310415"/>
    <w:rsid w:val="003115F7"/>
    <w:rsid w:val="00311632"/>
    <w:rsid w:val="00312987"/>
    <w:rsid w:val="00315064"/>
    <w:rsid w:val="003165E3"/>
    <w:rsid w:val="00317C6F"/>
    <w:rsid w:val="0032029B"/>
    <w:rsid w:val="00320A05"/>
    <w:rsid w:val="0032243B"/>
    <w:rsid w:val="00323CFB"/>
    <w:rsid w:val="00323D55"/>
    <w:rsid w:val="00324408"/>
    <w:rsid w:val="00324678"/>
    <w:rsid w:val="00326461"/>
    <w:rsid w:val="00326502"/>
    <w:rsid w:val="003269A8"/>
    <w:rsid w:val="003315BB"/>
    <w:rsid w:val="00331BA8"/>
    <w:rsid w:val="00332959"/>
    <w:rsid w:val="003331BB"/>
    <w:rsid w:val="00334400"/>
    <w:rsid w:val="003348A5"/>
    <w:rsid w:val="003349F6"/>
    <w:rsid w:val="00335BA8"/>
    <w:rsid w:val="00340131"/>
    <w:rsid w:val="003419E7"/>
    <w:rsid w:val="00342A3B"/>
    <w:rsid w:val="0034355F"/>
    <w:rsid w:val="00344189"/>
    <w:rsid w:val="00344256"/>
    <w:rsid w:val="00344376"/>
    <w:rsid w:val="00344A32"/>
    <w:rsid w:val="0034623C"/>
    <w:rsid w:val="003471FA"/>
    <w:rsid w:val="0034741C"/>
    <w:rsid w:val="00347550"/>
    <w:rsid w:val="00347C26"/>
    <w:rsid w:val="003517E9"/>
    <w:rsid w:val="003534E2"/>
    <w:rsid w:val="003538A5"/>
    <w:rsid w:val="0035414E"/>
    <w:rsid w:val="003560FC"/>
    <w:rsid w:val="003567E3"/>
    <w:rsid w:val="0036097C"/>
    <w:rsid w:val="003609C8"/>
    <w:rsid w:val="0036399C"/>
    <w:rsid w:val="00363B2A"/>
    <w:rsid w:val="003641E7"/>
    <w:rsid w:val="00364DA2"/>
    <w:rsid w:val="003651DC"/>
    <w:rsid w:val="0036558C"/>
    <w:rsid w:val="003657A2"/>
    <w:rsid w:val="00365CC9"/>
    <w:rsid w:val="0036606A"/>
    <w:rsid w:val="0036610B"/>
    <w:rsid w:val="00367498"/>
    <w:rsid w:val="00372833"/>
    <w:rsid w:val="00372AF6"/>
    <w:rsid w:val="00372E7D"/>
    <w:rsid w:val="003736B2"/>
    <w:rsid w:val="00373916"/>
    <w:rsid w:val="00373DB6"/>
    <w:rsid w:val="003758CC"/>
    <w:rsid w:val="003769C5"/>
    <w:rsid w:val="00376AE3"/>
    <w:rsid w:val="00377D79"/>
    <w:rsid w:val="003803D9"/>
    <w:rsid w:val="003814F8"/>
    <w:rsid w:val="00381539"/>
    <w:rsid w:val="003846CE"/>
    <w:rsid w:val="00385A7D"/>
    <w:rsid w:val="00385BA7"/>
    <w:rsid w:val="00385D79"/>
    <w:rsid w:val="00386724"/>
    <w:rsid w:val="00387A14"/>
    <w:rsid w:val="00387E81"/>
    <w:rsid w:val="00390398"/>
    <w:rsid w:val="00390A34"/>
    <w:rsid w:val="003914E4"/>
    <w:rsid w:val="00392458"/>
    <w:rsid w:val="003925C1"/>
    <w:rsid w:val="003933C8"/>
    <w:rsid w:val="00394263"/>
    <w:rsid w:val="0039429C"/>
    <w:rsid w:val="003952D1"/>
    <w:rsid w:val="00395C16"/>
    <w:rsid w:val="00395D67"/>
    <w:rsid w:val="00396259"/>
    <w:rsid w:val="003A202B"/>
    <w:rsid w:val="003A27E1"/>
    <w:rsid w:val="003A2887"/>
    <w:rsid w:val="003A4EC6"/>
    <w:rsid w:val="003A530A"/>
    <w:rsid w:val="003A7183"/>
    <w:rsid w:val="003A73EB"/>
    <w:rsid w:val="003A7AC6"/>
    <w:rsid w:val="003B0990"/>
    <w:rsid w:val="003B0ADC"/>
    <w:rsid w:val="003B0BE1"/>
    <w:rsid w:val="003B48AD"/>
    <w:rsid w:val="003B4D9A"/>
    <w:rsid w:val="003B58D8"/>
    <w:rsid w:val="003B6518"/>
    <w:rsid w:val="003B6748"/>
    <w:rsid w:val="003B6A48"/>
    <w:rsid w:val="003B6AED"/>
    <w:rsid w:val="003C0666"/>
    <w:rsid w:val="003C0751"/>
    <w:rsid w:val="003C287F"/>
    <w:rsid w:val="003C2ED6"/>
    <w:rsid w:val="003C30A8"/>
    <w:rsid w:val="003C4AAE"/>
    <w:rsid w:val="003C4D12"/>
    <w:rsid w:val="003C5071"/>
    <w:rsid w:val="003C6435"/>
    <w:rsid w:val="003C731C"/>
    <w:rsid w:val="003C74AC"/>
    <w:rsid w:val="003D05EE"/>
    <w:rsid w:val="003D0600"/>
    <w:rsid w:val="003D16FB"/>
    <w:rsid w:val="003D2DFF"/>
    <w:rsid w:val="003D358C"/>
    <w:rsid w:val="003D38FF"/>
    <w:rsid w:val="003D3D95"/>
    <w:rsid w:val="003D50CA"/>
    <w:rsid w:val="003D5EAF"/>
    <w:rsid w:val="003D63E3"/>
    <w:rsid w:val="003D666E"/>
    <w:rsid w:val="003D697A"/>
    <w:rsid w:val="003D6E51"/>
    <w:rsid w:val="003E01E3"/>
    <w:rsid w:val="003E09DE"/>
    <w:rsid w:val="003E16B3"/>
    <w:rsid w:val="003E17D2"/>
    <w:rsid w:val="003E20A3"/>
    <w:rsid w:val="003E21BA"/>
    <w:rsid w:val="003E3ABD"/>
    <w:rsid w:val="003E3BCA"/>
    <w:rsid w:val="003E3D97"/>
    <w:rsid w:val="003E4FC7"/>
    <w:rsid w:val="003E542A"/>
    <w:rsid w:val="003E62E5"/>
    <w:rsid w:val="003F1186"/>
    <w:rsid w:val="003F14B5"/>
    <w:rsid w:val="003F15DD"/>
    <w:rsid w:val="003F1DE6"/>
    <w:rsid w:val="003F25F8"/>
    <w:rsid w:val="003F2844"/>
    <w:rsid w:val="003F31BB"/>
    <w:rsid w:val="003F4370"/>
    <w:rsid w:val="003F4B07"/>
    <w:rsid w:val="003F59D5"/>
    <w:rsid w:val="003F5AD9"/>
    <w:rsid w:val="00400DEC"/>
    <w:rsid w:val="00402830"/>
    <w:rsid w:val="00404BBA"/>
    <w:rsid w:val="004050B3"/>
    <w:rsid w:val="00405C1F"/>
    <w:rsid w:val="00406BB1"/>
    <w:rsid w:val="00407A05"/>
    <w:rsid w:val="00407D72"/>
    <w:rsid w:val="00407E05"/>
    <w:rsid w:val="00407F17"/>
    <w:rsid w:val="00410377"/>
    <w:rsid w:val="00410FBB"/>
    <w:rsid w:val="00411D45"/>
    <w:rsid w:val="004130A2"/>
    <w:rsid w:val="004136E1"/>
    <w:rsid w:val="00413ADA"/>
    <w:rsid w:val="004158B9"/>
    <w:rsid w:val="00415AD7"/>
    <w:rsid w:val="00415CC5"/>
    <w:rsid w:val="00415E57"/>
    <w:rsid w:val="004164B8"/>
    <w:rsid w:val="004168BA"/>
    <w:rsid w:val="00417F2D"/>
    <w:rsid w:val="0042000D"/>
    <w:rsid w:val="00420204"/>
    <w:rsid w:val="0042025D"/>
    <w:rsid w:val="00420DC3"/>
    <w:rsid w:val="00420E0E"/>
    <w:rsid w:val="00421A76"/>
    <w:rsid w:val="00421E4D"/>
    <w:rsid w:val="00422720"/>
    <w:rsid w:val="004254A4"/>
    <w:rsid w:val="00425DFA"/>
    <w:rsid w:val="004265D7"/>
    <w:rsid w:val="004270D1"/>
    <w:rsid w:val="00427AA3"/>
    <w:rsid w:val="00427E6A"/>
    <w:rsid w:val="00430824"/>
    <w:rsid w:val="00431560"/>
    <w:rsid w:val="004319DB"/>
    <w:rsid w:val="00431C38"/>
    <w:rsid w:val="004320FC"/>
    <w:rsid w:val="0043219D"/>
    <w:rsid w:val="00432E86"/>
    <w:rsid w:val="00433936"/>
    <w:rsid w:val="00433BBC"/>
    <w:rsid w:val="00434296"/>
    <w:rsid w:val="0043438D"/>
    <w:rsid w:val="00435241"/>
    <w:rsid w:val="00435EF1"/>
    <w:rsid w:val="00436196"/>
    <w:rsid w:val="00437A2A"/>
    <w:rsid w:val="00437AD9"/>
    <w:rsid w:val="004414C8"/>
    <w:rsid w:val="00441A5D"/>
    <w:rsid w:val="004426D6"/>
    <w:rsid w:val="00442A9D"/>
    <w:rsid w:val="004431DF"/>
    <w:rsid w:val="00443F34"/>
    <w:rsid w:val="00443F69"/>
    <w:rsid w:val="00444287"/>
    <w:rsid w:val="00445DD1"/>
    <w:rsid w:val="00447AF4"/>
    <w:rsid w:val="00447B5E"/>
    <w:rsid w:val="00447F31"/>
    <w:rsid w:val="00447F7C"/>
    <w:rsid w:val="0045037E"/>
    <w:rsid w:val="00452B5E"/>
    <w:rsid w:val="00453B26"/>
    <w:rsid w:val="00454094"/>
    <w:rsid w:val="004551A0"/>
    <w:rsid w:val="0046079D"/>
    <w:rsid w:val="00460F51"/>
    <w:rsid w:val="004611F8"/>
    <w:rsid w:val="004618A7"/>
    <w:rsid w:val="0046305A"/>
    <w:rsid w:val="0046370A"/>
    <w:rsid w:val="00463942"/>
    <w:rsid w:val="00463D42"/>
    <w:rsid w:val="00465E9E"/>
    <w:rsid w:val="004663AF"/>
    <w:rsid w:val="00467790"/>
    <w:rsid w:val="00467883"/>
    <w:rsid w:val="00467913"/>
    <w:rsid w:val="0047006C"/>
    <w:rsid w:val="004709CA"/>
    <w:rsid w:val="00470C36"/>
    <w:rsid w:val="004721C8"/>
    <w:rsid w:val="00472717"/>
    <w:rsid w:val="00472F48"/>
    <w:rsid w:val="00473811"/>
    <w:rsid w:val="00474575"/>
    <w:rsid w:val="00474B47"/>
    <w:rsid w:val="00474C56"/>
    <w:rsid w:val="00475B7C"/>
    <w:rsid w:val="00476DA1"/>
    <w:rsid w:val="004777AF"/>
    <w:rsid w:val="0048000F"/>
    <w:rsid w:val="0048011F"/>
    <w:rsid w:val="00480268"/>
    <w:rsid w:val="00481011"/>
    <w:rsid w:val="0048155E"/>
    <w:rsid w:val="004816B1"/>
    <w:rsid w:val="00482C14"/>
    <w:rsid w:val="0048383C"/>
    <w:rsid w:val="00483F3C"/>
    <w:rsid w:val="004847E4"/>
    <w:rsid w:val="00485DEC"/>
    <w:rsid w:val="00486304"/>
    <w:rsid w:val="00486B28"/>
    <w:rsid w:val="00487A5B"/>
    <w:rsid w:val="00487D75"/>
    <w:rsid w:val="00487E44"/>
    <w:rsid w:val="00490F19"/>
    <w:rsid w:val="004928DE"/>
    <w:rsid w:val="00492F42"/>
    <w:rsid w:val="004933C6"/>
    <w:rsid w:val="00493435"/>
    <w:rsid w:val="00493F29"/>
    <w:rsid w:val="00494051"/>
    <w:rsid w:val="00494ED1"/>
    <w:rsid w:val="004952CB"/>
    <w:rsid w:val="00496221"/>
    <w:rsid w:val="00496346"/>
    <w:rsid w:val="004963BB"/>
    <w:rsid w:val="0049663D"/>
    <w:rsid w:val="004969CA"/>
    <w:rsid w:val="00497594"/>
    <w:rsid w:val="004A0A29"/>
    <w:rsid w:val="004A1013"/>
    <w:rsid w:val="004A17AB"/>
    <w:rsid w:val="004A1D0B"/>
    <w:rsid w:val="004A2A46"/>
    <w:rsid w:val="004A2B14"/>
    <w:rsid w:val="004A2D7E"/>
    <w:rsid w:val="004A69DF"/>
    <w:rsid w:val="004A71DB"/>
    <w:rsid w:val="004A7626"/>
    <w:rsid w:val="004A7D14"/>
    <w:rsid w:val="004B1810"/>
    <w:rsid w:val="004B1C32"/>
    <w:rsid w:val="004B1CB9"/>
    <w:rsid w:val="004B237D"/>
    <w:rsid w:val="004B2C04"/>
    <w:rsid w:val="004B312D"/>
    <w:rsid w:val="004B4381"/>
    <w:rsid w:val="004B48C6"/>
    <w:rsid w:val="004B50D0"/>
    <w:rsid w:val="004B72FB"/>
    <w:rsid w:val="004B79AA"/>
    <w:rsid w:val="004C02E3"/>
    <w:rsid w:val="004C086C"/>
    <w:rsid w:val="004C0B8D"/>
    <w:rsid w:val="004C168A"/>
    <w:rsid w:val="004C19EA"/>
    <w:rsid w:val="004C32F5"/>
    <w:rsid w:val="004C7AB9"/>
    <w:rsid w:val="004C7AFB"/>
    <w:rsid w:val="004C7B6D"/>
    <w:rsid w:val="004D1E02"/>
    <w:rsid w:val="004D2184"/>
    <w:rsid w:val="004D21AD"/>
    <w:rsid w:val="004D3821"/>
    <w:rsid w:val="004D3CB6"/>
    <w:rsid w:val="004D4009"/>
    <w:rsid w:val="004D583A"/>
    <w:rsid w:val="004D5A80"/>
    <w:rsid w:val="004D5D62"/>
    <w:rsid w:val="004D6320"/>
    <w:rsid w:val="004E0845"/>
    <w:rsid w:val="004E0AAE"/>
    <w:rsid w:val="004E0D68"/>
    <w:rsid w:val="004E1618"/>
    <w:rsid w:val="004E2BD7"/>
    <w:rsid w:val="004E2E45"/>
    <w:rsid w:val="004E59CF"/>
    <w:rsid w:val="004E59E0"/>
    <w:rsid w:val="004E7126"/>
    <w:rsid w:val="004F16DF"/>
    <w:rsid w:val="004F1E4B"/>
    <w:rsid w:val="004F2940"/>
    <w:rsid w:val="004F2B75"/>
    <w:rsid w:val="004F3540"/>
    <w:rsid w:val="004F3919"/>
    <w:rsid w:val="004F7CBA"/>
    <w:rsid w:val="00500832"/>
    <w:rsid w:val="00501740"/>
    <w:rsid w:val="00502EA5"/>
    <w:rsid w:val="005031F1"/>
    <w:rsid w:val="0050455C"/>
    <w:rsid w:val="00504CCC"/>
    <w:rsid w:val="00504DA9"/>
    <w:rsid w:val="00510D7C"/>
    <w:rsid w:val="005115B0"/>
    <w:rsid w:val="00511E38"/>
    <w:rsid w:val="00512A0E"/>
    <w:rsid w:val="00512DF0"/>
    <w:rsid w:val="005159B5"/>
    <w:rsid w:val="00516558"/>
    <w:rsid w:val="00516DA1"/>
    <w:rsid w:val="00517083"/>
    <w:rsid w:val="005172E1"/>
    <w:rsid w:val="00517AAE"/>
    <w:rsid w:val="0052050C"/>
    <w:rsid w:val="00520B97"/>
    <w:rsid w:val="00520C49"/>
    <w:rsid w:val="00521F9B"/>
    <w:rsid w:val="00522A5C"/>
    <w:rsid w:val="00523D75"/>
    <w:rsid w:val="00524875"/>
    <w:rsid w:val="00525393"/>
    <w:rsid w:val="00525F80"/>
    <w:rsid w:val="005260BD"/>
    <w:rsid w:val="00526B5D"/>
    <w:rsid w:val="005271AE"/>
    <w:rsid w:val="00527BED"/>
    <w:rsid w:val="00530295"/>
    <w:rsid w:val="005315A1"/>
    <w:rsid w:val="005324B9"/>
    <w:rsid w:val="00532745"/>
    <w:rsid w:val="0053302D"/>
    <w:rsid w:val="00533EA2"/>
    <w:rsid w:val="00535625"/>
    <w:rsid w:val="00535BA4"/>
    <w:rsid w:val="00536192"/>
    <w:rsid w:val="005368FC"/>
    <w:rsid w:val="00536A87"/>
    <w:rsid w:val="00536C33"/>
    <w:rsid w:val="00536E20"/>
    <w:rsid w:val="00536FB6"/>
    <w:rsid w:val="0054126A"/>
    <w:rsid w:val="005413BF"/>
    <w:rsid w:val="0054169F"/>
    <w:rsid w:val="00542EFD"/>
    <w:rsid w:val="00543338"/>
    <w:rsid w:val="00543943"/>
    <w:rsid w:val="00544663"/>
    <w:rsid w:val="00545863"/>
    <w:rsid w:val="00545ABE"/>
    <w:rsid w:val="00545E09"/>
    <w:rsid w:val="00547362"/>
    <w:rsid w:val="005500B1"/>
    <w:rsid w:val="005505B4"/>
    <w:rsid w:val="005508D4"/>
    <w:rsid w:val="00550D4F"/>
    <w:rsid w:val="00551603"/>
    <w:rsid w:val="00551C9F"/>
    <w:rsid w:val="00552FB2"/>
    <w:rsid w:val="00554879"/>
    <w:rsid w:val="00555C60"/>
    <w:rsid w:val="00556B0A"/>
    <w:rsid w:val="00557122"/>
    <w:rsid w:val="00561A72"/>
    <w:rsid w:val="0056304D"/>
    <w:rsid w:val="00563774"/>
    <w:rsid w:val="00563ED7"/>
    <w:rsid w:val="0056582C"/>
    <w:rsid w:val="00565F62"/>
    <w:rsid w:val="0056720A"/>
    <w:rsid w:val="005678F4"/>
    <w:rsid w:val="00567E57"/>
    <w:rsid w:val="00571B6E"/>
    <w:rsid w:val="00571DE2"/>
    <w:rsid w:val="00571EE8"/>
    <w:rsid w:val="00573A76"/>
    <w:rsid w:val="005746FE"/>
    <w:rsid w:val="00574BB5"/>
    <w:rsid w:val="005755C7"/>
    <w:rsid w:val="0057794D"/>
    <w:rsid w:val="005812B9"/>
    <w:rsid w:val="00581651"/>
    <w:rsid w:val="00581B99"/>
    <w:rsid w:val="00582089"/>
    <w:rsid w:val="005824E5"/>
    <w:rsid w:val="005846E1"/>
    <w:rsid w:val="00585DCC"/>
    <w:rsid w:val="00586D8F"/>
    <w:rsid w:val="0058793A"/>
    <w:rsid w:val="00587ACB"/>
    <w:rsid w:val="005932A0"/>
    <w:rsid w:val="00593ED1"/>
    <w:rsid w:val="00594653"/>
    <w:rsid w:val="00594B63"/>
    <w:rsid w:val="005969E8"/>
    <w:rsid w:val="00596AEB"/>
    <w:rsid w:val="00597889"/>
    <w:rsid w:val="005A0A33"/>
    <w:rsid w:val="005A11A5"/>
    <w:rsid w:val="005A179A"/>
    <w:rsid w:val="005A1918"/>
    <w:rsid w:val="005A29C4"/>
    <w:rsid w:val="005A2C30"/>
    <w:rsid w:val="005A4208"/>
    <w:rsid w:val="005A6878"/>
    <w:rsid w:val="005A7309"/>
    <w:rsid w:val="005B0BF0"/>
    <w:rsid w:val="005B18B4"/>
    <w:rsid w:val="005B1F6F"/>
    <w:rsid w:val="005B27B0"/>
    <w:rsid w:val="005B3362"/>
    <w:rsid w:val="005B36FE"/>
    <w:rsid w:val="005B3811"/>
    <w:rsid w:val="005B3B30"/>
    <w:rsid w:val="005B3F82"/>
    <w:rsid w:val="005B46D7"/>
    <w:rsid w:val="005B53E6"/>
    <w:rsid w:val="005B5432"/>
    <w:rsid w:val="005B54E4"/>
    <w:rsid w:val="005B6CD1"/>
    <w:rsid w:val="005B7067"/>
    <w:rsid w:val="005B7195"/>
    <w:rsid w:val="005B7B3E"/>
    <w:rsid w:val="005C105A"/>
    <w:rsid w:val="005C1A5F"/>
    <w:rsid w:val="005C484E"/>
    <w:rsid w:val="005C4F41"/>
    <w:rsid w:val="005C539E"/>
    <w:rsid w:val="005C7124"/>
    <w:rsid w:val="005C7622"/>
    <w:rsid w:val="005D00BE"/>
    <w:rsid w:val="005D2788"/>
    <w:rsid w:val="005D34FF"/>
    <w:rsid w:val="005D3CC1"/>
    <w:rsid w:val="005D53B5"/>
    <w:rsid w:val="005D5526"/>
    <w:rsid w:val="005D6B4C"/>
    <w:rsid w:val="005D70A5"/>
    <w:rsid w:val="005D7576"/>
    <w:rsid w:val="005E093E"/>
    <w:rsid w:val="005E137F"/>
    <w:rsid w:val="005E371B"/>
    <w:rsid w:val="005E3B3D"/>
    <w:rsid w:val="005E3D46"/>
    <w:rsid w:val="005E4694"/>
    <w:rsid w:val="005E4783"/>
    <w:rsid w:val="005E5AD0"/>
    <w:rsid w:val="005E6A45"/>
    <w:rsid w:val="005F043C"/>
    <w:rsid w:val="005F0ADE"/>
    <w:rsid w:val="005F17C4"/>
    <w:rsid w:val="005F1BA5"/>
    <w:rsid w:val="005F3E46"/>
    <w:rsid w:val="005F6BAC"/>
    <w:rsid w:val="005F72C8"/>
    <w:rsid w:val="00600DC1"/>
    <w:rsid w:val="006010CE"/>
    <w:rsid w:val="00602F65"/>
    <w:rsid w:val="00603198"/>
    <w:rsid w:val="0060335F"/>
    <w:rsid w:val="00603C58"/>
    <w:rsid w:val="00603E21"/>
    <w:rsid w:val="00603FFD"/>
    <w:rsid w:val="00604FAE"/>
    <w:rsid w:val="00605317"/>
    <w:rsid w:val="006062BB"/>
    <w:rsid w:val="00607329"/>
    <w:rsid w:val="00607C77"/>
    <w:rsid w:val="00612569"/>
    <w:rsid w:val="00612B2F"/>
    <w:rsid w:val="006132E8"/>
    <w:rsid w:val="00613A6C"/>
    <w:rsid w:val="00613AA3"/>
    <w:rsid w:val="00613AC6"/>
    <w:rsid w:val="0061418D"/>
    <w:rsid w:val="006153F7"/>
    <w:rsid w:val="00615640"/>
    <w:rsid w:val="00615D72"/>
    <w:rsid w:val="006163E9"/>
    <w:rsid w:val="00616AC9"/>
    <w:rsid w:val="00616E05"/>
    <w:rsid w:val="00617023"/>
    <w:rsid w:val="00617DC5"/>
    <w:rsid w:val="00621004"/>
    <w:rsid w:val="00622464"/>
    <w:rsid w:val="00622BE8"/>
    <w:rsid w:val="00625BFB"/>
    <w:rsid w:val="00626346"/>
    <w:rsid w:val="006263C7"/>
    <w:rsid w:val="00630475"/>
    <w:rsid w:val="006313A1"/>
    <w:rsid w:val="00631431"/>
    <w:rsid w:val="00632872"/>
    <w:rsid w:val="00633DA2"/>
    <w:rsid w:val="00634F27"/>
    <w:rsid w:val="00636461"/>
    <w:rsid w:val="006368A0"/>
    <w:rsid w:val="00636FD6"/>
    <w:rsid w:val="006377C1"/>
    <w:rsid w:val="0063783A"/>
    <w:rsid w:val="00640D1D"/>
    <w:rsid w:val="0064236D"/>
    <w:rsid w:val="00642DE6"/>
    <w:rsid w:val="00642E78"/>
    <w:rsid w:val="006433D5"/>
    <w:rsid w:val="00644167"/>
    <w:rsid w:val="006443D2"/>
    <w:rsid w:val="006448AD"/>
    <w:rsid w:val="00644F1C"/>
    <w:rsid w:val="00645166"/>
    <w:rsid w:val="00650A00"/>
    <w:rsid w:val="00650FE4"/>
    <w:rsid w:val="006518A0"/>
    <w:rsid w:val="00651AA0"/>
    <w:rsid w:val="006530ED"/>
    <w:rsid w:val="00653AAE"/>
    <w:rsid w:val="006545C8"/>
    <w:rsid w:val="0065557E"/>
    <w:rsid w:val="006559D1"/>
    <w:rsid w:val="006559F8"/>
    <w:rsid w:val="00655DD8"/>
    <w:rsid w:val="00656E4F"/>
    <w:rsid w:val="00657D7D"/>
    <w:rsid w:val="00657DCE"/>
    <w:rsid w:val="00660C99"/>
    <w:rsid w:val="00661215"/>
    <w:rsid w:val="00661A4A"/>
    <w:rsid w:val="006629C4"/>
    <w:rsid w:val="00662C6D"/>
    <w:rsid w:val="006638A7"/>
    <w:rsid w:val="0066428D"/>
    <w:rsid w:val="00664654"/>
    <w:rsid w:val="0066479A"/>
    <w:rsid w:val="006658CB"/>
    <w:rsid w:val="006658F2"/>
    <w:rsid w:val="00665B84"/>
    <w:rsid w:val="006701D1"/>
    <w:rsid w:val="006710E8"/>
    <w:rsid w:val="0067329A"/>
    <w:rsid w:val="00673798"/>
    <w:rsid w:val="006737F3"/>
    <w:rsid w:val="0067399E"/>
    <w:rsid w:val="00674560"/>
    <w:rsid w:val="006758D4"/>
    <w:rsid w:val="00675AF8"/>
    <w:rsid w:val="006775CA"/>
    <w:rsid w:val="00677705"/>
    <w:rsid w:val="00677A06"/>
    <w:rsid w:val="006827C2"/>
    <w:rsid w:val="0068286C"/>
    <w:rsid w:val="00682E5C"/>
    <w:rsid w:val="0068301C"/>
    <w:rsid w:val="00683CCF"/>
    <w:rsid w:val="00683CEC"/>
    <w:rsid w:val="00686A60"/>
    <w:rsid w:val="00687DFC"/>
    <w:rsid w:val="00690407"/>
    <w:rsid w:val="00690559"/>
    <w:rsid w:val="00690E4C"/>
    <w:rsid w:val="00690F6F"/>
    <w:rsid w:val="00691175"/>
    <w:rsid w:val="00691D04"/>
    <w:rsid w:val="00691E9A"/>
    <w:rsid w:val="00691F51"/>
    <w:rsid w:val="006926D2"/>
    <w:rsid w:val="006945D2"/>
    <w:rsid w:val="006959A2"/>
    <w:rsid w:val="00695AF9"/>
    <w:rsid w:val="00696EF3"/>
    <w:rsid w:val="00697548"/>
    <w:rsid w:val="00697A6A"/>
    <w:rsid w:val="006A1A6E"/>
    <w:rsid w:val="006A1AA3"/>
    <w:rsid w:val="006A1CD5"/>
    <w:rsid w:val="006A1EF3"/>
    <w:rsid w:val="006A2335"/>
    <w:rsid w:val="006A24BF"/>
    <w:rsid w:val="006A3040"/>
    <w:rsid w:val="006A4DCA"/>
    <w:rsid w:val="006A5801"/>
    <w:rsid w:val="006A6736"/>
    <w:rsid w:val="006A67B1"/>
    <w:rsid w:val="006A6A6F"/>
    <w:rsid w:val="006A6E9E"/>
    <w:rsid w:val="006B0451"/>
    <w:rsid w:val="006B09B6"/>
    <w:rsid w:val="006B0C30"/>
    <w:rsid w:val="006B0F5E"/>
    <w:rsid w:val="006B1671"/>
    <w:rsid w:val="006B18C8"/>
    <w:rsid w:val="006B1A6C"/>
    <w:rsid w:val="006B2107"/>
    <w:rsid w:val="006B35B9"/>
    <w:rsid w:val="006B3F7D"/>
    <w:rsid w:val="006B4409"/>
    <w:rsid w:val="006B4A43"/>
    <w:rsid w:val="006B4E94"/>
    <w:rsid w:val="006B6284"/>
    <w:rsid w:val="006B68D7"/>
    <w:rsid w:val="006B6D63"/>
    <w:rsid w:val="006C14B3"/>
    <w:rsid w:val="006C15B4"/>
    <w:rsid w:val="006C175C"/>
    <w:rsid w:val="006C2516"/>
    <w:rsid w:val="006C25A3"/>
    <w:rsid w:val="006C3D07"/>
    <w:rsid w:val="006C3D48"/>
    <w:rsid w:val="006C3EB3"/>
    <w:rsid w:val="006C5308"/>
    <w:rsid w:val="006C71D7"/>
    <w:rsid w:val="006D0BAD"/>
    <w:rsid w:val="006D14E6"/>
    <w:rsid w:val="006D43F6"/>
    <w:rsid w:val="006D4E7E"/>
    <w:rsid w:val="006D50E7"/>
    <w:rsid w:val="006D5A71"/>
    <w:rsid w:val="006D6602"/>
    <w:rsid w:val="006D7307"/>
    <w:rsid w:val="006E029E"/>
    <w:rsid w:val="006E1437"/>
    <w:rsid w:val="006E1A38"/>
    <w:rsid w:val="006E24AF"/>
    <w:rsid w:val="006E4065"/>
    <w:rsid w:val="006E44E8"/>
    <w:rsid w:val="006E4C2B"/>
    <w:rsid w:val="006E4C3F"/>
    <w:rsid w:val="006E592B"/>
    <w:rsid w:val="006E6591"/>
    <w:rsid w:val="006E6853"/>
    <w:rsid w:val="006E7F13"/>
    <w:rsid w:val="006F0C26"/>
    <w:rsid w:val="006F17EB"/>
    <w:rsid w:val="006F1B05"/>
    <w:rsid w:val="006F2191"/>
    <w:rsid w:val="006F246A"/>
    <w:rsid w:val="006F2483"/>
    <w:rsid w:val="006F2A22"/>
    <w:rsid w:val="006F336C"/>
    <w:rsid w:val="006F3FB9"/>
    <w:rsid w:val="006F4224"/>
    <w:rsid w:val="006F4306"/>
    <w:rsid w:val="006F481D"/>
    <w:rsid w:val="006F522E"/>
    <w:rsid w:val="006F57FE"/>
    <w:rsid w:val="006F6021"/>
    <w:rsid w:val="006F6167"/>
    <w:rsid w:val="006F633C"/>
    <w:rsid w:val="006F6879"/>
    <w:rsid w:val="006F70AB"/>
    <w:rsid w:val="006F7371"/>
    <w:rsid w:val="007003CF"/>
    <w:rsid w:val="007015C1"/>
    <w:rsid w:val="00701E17"/>
    <w:rsid w:val="00702ABB"/>
    <w:rsid w:val="0070300A"/>
    <w:rsid w:val="007036AA"/>
    <w:rsid w:val="00704262"/>
    <w:rsid w:val="0070460E"/>
    <w:rsid w:val="007057AE"/>
    <w:rsid w:val="007061AE"/>
    <w:rsid w:val="00706B52"/>
    <w:rsid w:val="00707062"/>
    <w:rsid w:val="0070707D"/>
    <w:rsid w:val="00710284"/>
    <w:rsid w:val="007107DD"/>
    <w:rsid w:val="00711159"/>
    <w:rsid w:val="0071188E"/>
    <w:rsid w:val="00712699"/>
    <w:rsid w:val="00712DCC"/>
    <w:rsid w:val="00713D89"/>
    <w:rsid w:val="00713EE9"/>
    <w:rsid w:val="00714846"/>
    <w:rsid w:val="00715A66"/>
    <w:rsid w:val="007166F8"/>
    <w:rsid w:val="00716889"/>
    <w:rsid w:val="00720E5E"/>
    <w:rsid w:val="0072132F"/>
    <w:rsid w:val="007213EE"/>
    <w:rsid w:val="00721E56"/>
    <w:rsid w:val="00721F83"/>
    <w:rsid w:val="007234F1"/>
    <w:rsid w:val="007239EE"/>
    <w:rsid w:val="00724151"/>
    <w:rsid w:val="007244A4"/>
    <w:rsid w:val="00724B8B"/>
    <w:rsid w:val="00724F3C"/>
    <w:rsid w:val="007276A4"/>
    <w:rsid w:val="00727A0A"/>
    <w:rsid w:val="00730127"/>
    <w:rsid w:val="007301F0"/>
    <w:rsid w:val="0073031B"/>
    <w:rsid w:val="00730682"/>
    <w:rsid w:val="00731989"/>
    <w:rsid w:val="00731A8F"/>
    <w:rsid w:val="007326C4"/>
    <w:rsid w:val="00732A4E"/>
    <w:rsid w:val="00732FA7"/>
    <w:rsid w:val="0073328D"/>
    <w:rsid w:val="007333D0"/>
    <w:rsid w:val="007352DD"/>
    <w:rsid w:val="007362D1"/>
    <w:rsid w:val="00737146"/>
    <w:rsid w:val="00737445"/>
    <w:rsid w:val="0073748A"/>
    <w:rsid w:val="007404F9"/>
    <w:rsid w:val="00740950"/>
    <w:rsid w:val="00740A2C"/>
    <w:rsid w:val="007411C0"/>
    <w:rsid w:val="00741A67"/>
    <w:rsid w:val="00742263"/>
    <w:rsid w:val="007423B0"/>
    <w:rsid w:val="00743420"/>
    <w:rsid w:val="00743B3B"/>
    <w:rsid w:val="00745199"/>
    <w:rsid w:val="00745864"/>
    <w:rsid w:val="00745FCD"/>
    <w:rsid w:val="0074697D"/>
    <w:rsid w:val="0075124A"/>
    <w:rsid w:val="007519B7"/>
    <w:rsid w:val="00752D3D"/>
    <w:rsid w:val="0075477F"/>
    <w:rsid w:val="007548B3"/>
    <w:rsid w:val="00754995"/>
    <w:rsid w:val="007551B4"/>
    <w:rsid w:val="007555D1"/>
    <w:rsid w:val="00755BB4"/>
    <w:rsid w:val="00760888"/>
    <w:rsid w:val="007613FD"/>
    <w:rsid w:val="007624BA"/>
    <w:rsid w:val="00762693"/>
    <w:rsid w:val="00763BE6"/>
    <w:rsid w:val="0076472E"/>
    <w:rsid w:val="00765903"/>
    <w:rsid w:val="00766052"/>
    <w:rsid w:val="007663D8"/>
    <w:rsid w:val="00766A1B"/>
    <w:rsid w:val="00766F27"/>
    <w:rsid w:val="00767799"/>
    <w:rsid w:val="00767E8A"/>
    <w:rsid w:val="00773927"/>
    <w:rsid w:val="00775A98"/>
    <w:rsid w:val="00776B0A"/>
    <w:rsid w:val="00776E27"/>
    <w:rsid w:val="0078019E"/>
    <w:rsid w:val="00780431"/>
    <w:rsid w:val="007807D7"/>
    <w:rsid w:val="00781F41"/>
    <w:rsid w:val="0078269F"/>
    <w:rsid w:val="00783BAA"/>
    <w:rsid w:val="00786E30"/>
    <w:rsid w:val="00787C3A"/>
    <w:rsid w:val="007904BB"/>
    <w:rsid w:val="007908D2"/>
    <w:rsid w:val="007926D6"/>
    <w:rsid w:val="00793D70"/>
    <w:rsid w:val="00794469"/>
    <w:rsid w:val="007958BD"/>
    <w:rsid w:val="00797968"/>
    <w:rsid w:val="007A15F1"/>
    <w:rsid w:val="007A16F2"/>
    <w:rsid w:val="007A1B6F"/>
    <w:rsid w:val="007A2D0E"/>
    <w:rsid w:val="007A2D69"/>
    <w:rsid w:val="007A316B"/>
    <w:rsid w:val="007A3253"/>
    <w:rsid w:val="007A42F3"/>
    <w:rsid w:val="007A4A9C"/>
    <w:rsid w:val="007B0227"/>
    <w:rsid w:val="007B02E7"/>
    <w:rsid w:val="007B037E"/>
    <w:rsid w:val="007B0911"/>
    <w:rsid w:val="007B1E1B"/>
    <w:rsid w:val="007B24C9"/>
    <w:rsid w:val="007B35C5"/>
    <w:rsid w:val="007B3CC5"/>
    <w:rsid w:val="007B4126"/>
    <w:rsid w:val="007B5094"/>
    <w:rsid w:val="007B564B"/>
    <w:rsid w:val="007B597A"/>
    <w:rsid w:val="007B5FF9"/>
    <w:rsid w:val="007B6732"/>
    <w:rsid w:val="007B6D72"/>
    <w:rsid w:val="007B7276"/>
    <w:rsid w:val="007B72AA"/>
    <w:rsid w:val="007C0D16"/>
    <w:rsid w:val="007C0EE4"/>
    <w:rsid w:val="007C163B"/>
    <w:rsid w:val="007C1665"/>
    <w:rsid w:val="007C3677"/>
    <w:rsid w:val="007C3C4C"/>
    <w:rsid w:val="007C5838"/>
    <w:rsid w:val="007C645F"/>
    <w:rsid w:val="007C71BC"/>
    <w:rsid w:val="007C75C7"/>
    <w:rsid w:val="007D0A08"/>
    <w:rsid w:val="007D0AFD"/>
    <w:rsid w:val="007D111B"/>
    <w:rsid w:val="007D220D"/>
    <w:rsid w:val="007D3E2B"/>
    <w:rsid w:val="007D4AB2"/>
    <w:rsid w:val="007D4CFF"/>
    <w:rsid w:val="007D4F9B"/>
    <w:rsid w:val="007D69ED"/>
    <w:rsid w:val="007E195B"/>
    <w:rsid w:val="007E2BBD"/>
    <w:rsid w:val="007E3DBC"/>
    <w:rsid w:val="007E41B2"/>
    <w:rsid w:val="007E4A9D"/>
    <w:rsid w:val="007E515C"/>
    <w:rsid w:val="007E53EB"/>
    <w:rsid w:val="007E57B7"/>
    <w:rsid w:val="007E65E6"/>
    <w:rsid w:val="007E71FA"/>
    <w:rsid w:val="007E745A"/>
    <w:rsid w:val="007E757B"/>
    <w:rsid w:val="007E7FAB"/>
    <w:rsid w:val="007F12EE"/>
    <w:rsid w:val="007F1CEE"/>
    <w:rsid w:val="007F280D"/>
    <w:rsid w:val="007F2ABB"/>
    <w:rsid w:val="007F2B15"/>
    <w:rsid w:val="007F2BFC"/>
    <w:rsid w:val="007F31ED"/>
    <w:rsid w:val="007F4140"/>
    <w:rsid w:val="007F4FFE"/>
    <w:rsid w:val="007F53EB"/>
    <w:rsid w:val="007F5E55"/>
    <w:rsid w:val="008033F7"/>
    <w:rsid w:val="0080387B"/>
    <w:rsid w:val="00804473"/>
    <w:rsid w:val="0080538F"/>
    <w:rsid w:val="00805740"/>
    <w:rsid w:val="00806065"/>
    <w:rsid w:val="00806072"/>
    <w:rsid w:val="0080695C"/>
    <w:rsid w:val="00806A03"/>
    <w:rsid w:val="00807DAD"/>
    <w:rsid w:val="00810457"/>
    <w:rsid w:val="008106A4"/>
    <w:rsid w:val="00810A0C"/>
    <w:rsid w:val="00810BE6"/>
    <w:rsid w:val="00810DA7"/>
    <w:rsid w:val="0081144A"/>
    <w:rsid w:val="0081210E"/>
    <w:rsid w:val="00812E67"/>
    <w:rsid w:val="00813AB6"/>
    <w:rsid w:val="0081412A"/>
    <w:rsid w:val="008147C1"/>
    <w:rsid w:val="00814BF8"/>
    <w:rsid w:val="0081563B"/>
    <w:rsid w:val="00815A7B"/>
    <w:rsid w:val="0081653E"/>
    <w:rsid w:val="008165EF"/>
    <w:rsid w:val="0082120A"/>
    <w:rsid w:val="0082122C"/>
    <w:rsid w:val="00821BFD"/>
    <w:rsid w:val="008226DC"/>
    <w:rsid w:val="00822B79"/>
    <w:rsid w:val="00825573"/>
    <w:rsid w:val="00825E7F"/>
    <w:rsid w:val="008267A0"/>
    <w:rsid w:val="0082703F"/>
    <w:rsid w:val="00827831"/>
    <w:rsid w:val="00832715"/>
    <w:rsid w:val="00833367"/>
    <w:rsid w:val="008343D9"/>
    <w:rsid w:val="00834B34"/>
    <w:rsid w:val="00835C62"/>
    <w:rsid w:val="00835DDF"/>
    <w:rsid w:val="00836880"/>
    <w:rsid w:val="008372FE"/>
    <w:rsid w:val="00841094"/>
    <w:rsid w:val="00841BAC"/>
    <w:rsid w:val="00842DAC"/>
    <w:rsid w:val="00843ED7"/>
    <w:rsid w:val="0084440B"/>
    <w:rsid w:val="00845620"/>
    <w:rsid w:val="00846D44"/>
    <w:rsid w:val="0084762A"/>
    <w:rsid w:val="008477D0"/>
    <w:rsid w:val="00847F00"/>
    <w:rsid w:val="0085073D"/>
    <w:rsid w:val="00850DED"/>
    <w:rsid w:val="00850E60"/>
    <w:rsid w:val="008510C5"/>
    <w:rsid w:val="00851984"/>
    <w:rsid w:val="008536B9"/>
    <w:rsid w:val="00854757"/>
    <w:rsid w:val="00854F1C"/>
    <w:rsid w:val="00855692"/>
    <w:rsid w:val="00855A99"/>
    <w:rsid w:val="00856C5B"/>
    <w:rsid w:val="00857B02"/>
    <w:rsid w:val="00857E15"/>
    <w:rsid w:val="00857F92"/>
    <w:rsid w:val="00860DDF"/>
    <w:rsid w:val="0086230D"/>
    <w:rsid w:val="0086320A"/>
    <w:rsid w:val="00865189"/>
    <w:rsid w:val="008657F5"/>
    <w:rsid w:val="00865A55"/>
    <w:rsid w:val="00866F08"/>
    <w:rsid w:val="00867140"/>
    <w:rsid w:val="00867BB8"/>
    <w:rsid w:val="0087003B"/>
    <w:rsid w:val="008706F6"/>
    <w:rsid w:val="00871EF4"/>
    <w:rsid w:val="00873360"/>
    <w:rsid w:val="00873B92"/>
    <w:rsid w:val="00873CDF"/>
    <w:rsid w:val="00874167"/>
    <w:rsid w:val="0087638A"/>
    <w:rsid w:val="0087699E"/>
    <w:rsid w:val="008832C9"/>
    <w:rsid w:val="00884B95"/>
    <w:rsid w:val="00885980"/>
    <w:rsid w:val="00886169"/>
    <w:rsid w:val="008869F8"/>
    <w:rsid w:val="00887031"/>
    <w:rsid w:val="0088715D"/>
    <w:rsid w:val="00891114"/>
    <w:rsid w:val="00891A70"/>
    <w:rsid w:val="00892030"/>
    <w:rsid w:val="0089214C"/>
    <w:rsid w:val="00892496"/>
    <w:rsid w:val="0089257D"/>
    <w:rsid w:val="0089283F"/>
    <w:rsid w:val="00896BE6"/>
    <w:rsid w:val="00896FB5"/>
    <w:rsid w:val="008A08D9"/>
    <w:rsid w:val="008A0BC2"/>
    <w:rsid w:val="008A0C07"/>
    <w:rsid w:val="008A0FE9"/>
    <w:rsid w:val="008A102B"/>
    <w:rsid w:val="008A14C0"/>
    <w:rsid w:val="008A1C39"/>
    <w:rsid w:val="008A1E4A"/>
    <w:rsid w:val="008A4842"/>
    <w:rsid w:val="008A4F2B"/>
    <w:rsid w:val="008A7CD7"/>
    <w:rsid w:val="008B24E7"/>
    <w:rsid w:val="008B2FCD"/>
    <w:rsid w:val="008B3064"/>
    <w:rsid w:val="008B37DF"/>
    <w:rsid w:val="008B679C"/>
    <w:rsid w:val="008B6C7B"/>
    <w:rsid w:val="008B6E36"/>
    <w:rsid w:val="008B7F4C"/>
    <w:rsid w:val="008C0F5B"/>
    <w:rsid w:val="008C1F4D"/>
    <w:rsid w:val="008C20C4"/>
    <w:rsid w:val="008C2186"/>
    <w:rsid w:val="008C21FB"/>
    <w:rsid w:val="008C3F7E"/>
    <w:rsid w:val="008C5666"/>
    <w:rsid w:val="008C752B"/>
    <w:rsid w:val="008C7BFF"/>
    <w:rsid w:val="008D0B29"/>
    <w:rsid w:val="008D106D"/>
    <w:rsid w:val="008D2908"/>
    <w:rsid w:val="008D2E75"/>
    <w:rsid w:val="008D31D5"/>
    <w:rsid w:val="008D4947"/>
    <w:rsid w:val="008D4D2B"/>
    <w:rsid w:val="008D5376"/>
    <w:rsid w:val="008D53EC"/>
    <w:rsid w:val="008D5870"/>
    <w:rsid w:val="008D70F5"/>
    <w:rsid w:val="008D788B"/>
    <w:rsid w:val="008E1B3B"/>
    <w:rsid w:val="008E27BC"/>
    <w:rsid w:val="008E2911"/>
    <w:rsid w:val="008E2E18"/>
    <w:rsid w:val="008E31C9"/>
    <w:rsid w:val="008E31F1"/>
    <w:rsid w:val="008E329A"/>
    <w:rsid w:val="008E4B69"/>
    <w:rsid w:val="008E5180"/>
    <w:rsid w:val="008E6518"/>
    <w:rsid w:val="008E73B9"/>
    <w:rsid w:val="008E73DB"/>
    <w:rsid w:val="008F03C6"/>
    <w:rsid w:val="008F13CB"/>
    <w:rsid w:val="008F1877"/>
    <w:rsid w:val="008F2996"/>
    <w:rsid w:val="008F2A66"/>
    <w:rsid w:val="008F2CAC"/>
    <w:rsid w:val="008F3068"/>
    <w:rsid w:val="008F32E2"/>
    <w:rsid w:val="008F356F"/>
    <w:rsid w:val="008F4F33"/>
    <w:rsid w:val="008F53A2"/>
    <w:rsid w:val="008F608B"/>
    <w:rsid w:val="008F6583"/>
    <w:rsid w:val="008F6728"/>
    <w:rsid w:val="00901F78"/>
    <w:rsid w:val="00904776"/>
    <w:rsid w:val="00905015"/>
    <w:rsid w:val="00905EF5"/>
    <w:rsid w:val="00907DBA"/>
    <w:rsid w:val="009114B8"/>
    <w:rsid w:val="00911B25"/>
    <w:rsid w:val="0091361C"/>
    <w:rsid w:val="0091367E"/>
    <w:rsid w:val="00914A54"/>
    <w:rsid w:val="00914C64"/>
    <w:rsid w:val="0091557F"/>
    <w:rsid w:val="0091560A"/>
    <w:rsid w:val="009156C0"/>
    <w:rsid w:val="00915918"/>
    <w:rsid w:val="00916822"/>
    <w:rsid w:val="00916D1F"/>
    <w:rsid w:val="00917C07"/>
    <w:rsid w:val="00922435"/>
    <w:rsid w:val="009235B6"/>
    <w:rsid w:val="00924D44"/>
    <w:rsid w:val="009253F0"/>
    <w:rsid w:val="0092560F"/>
    <w:rsid w:val="009256D0"/>
    <w:rsid w:val="00925E88"/>
    <w:rsid w:val="0093008F"/>
    <w:rsid w:val="00931197"/>
    <w:rsid w:val="0093136B"/>
    <w:rsid w:val="0093242B"/>
    <w:rsid w:val="00932601"/>
    <w:rsid w:val="00933205"/>
    <w:rsid w:val="009336CB"/>
    <w:rsid w:val="00933DAB"/>
    <w:rsid w:val="00934285"/>
    <w:rsid w:val="009342FF"/>
    <w:rsid w:val="00934743"/>
    <w:rsid w:val="00934CEF"/>
    <w:rsid w:val="00934F97"/>
    <w:rsid w:val="00936967"/>
    <w:rsid w:val="0093740F"/>
    <w:rsid w:val="00937DFC"/>
    <w:rsid w:val="00940458"/>
    <w:rsid w:val="0094117D"/>
    <w:rsid w:val="00941DF6"/>
    <w:rsid w:val="009426B5"/>
    <w:rsid w:val="00943AFB"/>
    <w:rsid w:val="009442AE"/>
    <w:rsid w:val="0094492B"/>
    <w:rsid w:val="00944F8C"/>
    <w:rsid w:val="00945E1C"/>
    <w:rsid w:val="009475D3"/>
    <w:rsid w:val="009517C5"/>
    <w:rsid w:val="00951AB3"/>
    <w:rsid w:val="00953094"/>
    <w:rsid w:val="00957312"/>
    <w:rsid w:val="009577B8"/>
    <w:rsid w:val="00957E74"/>
    <w:rsid w:val="00960E22"/>
    <w:rsid w:val="00961002"/>
    <w:rsid w:val="00962A9C"/>
    <w:rsid w:val="0096577D"/>
    <w:rsid w:val="00966FC7"/>
    <w:rsid w:val="00967358"/>
    <w:rsid w:val="009676F1"/>
    <w:rsid w:val="00970945"/>
    <w:rsid w:val="009714E0"/>
    <w:rsid w:val="00971A40"/>
    <w:rsid w:val="009727EA"/>
    <w:rsid w:val="00975268"/>
    <w:rsid w:val="0097567C"/>
    <w:rsid w:val="00975BA0"/>
    <w:rsid w:val="0097696C"/>
    <w:rsid w:val="00980658"/>
    <w:rsid w:val="0098290A"/>
    <w:rsid w:val="00984C7A"/>
    <w:rsid w:val="00984F43"/>
    <w:rsid w:val="00985E0A"/>
    <w:rsid w:val="00985F8D"/>
    <w:rsid w:val="009863D3"/>
    <w:rsid w:val="009865DF"/>
    <w:rsid w:val="00987089"/>
    <w:rsid w:val="00987661"/>
    <w:rsid w:val="009878CB"/>
    <w:rsid w:val="0099006D"/>
    <w:rsid w:val="009914C2"/>
    <w:rsid w:val="009924D3"/>
    <w:rsid w:val="00992AF3"/>
    <w:rsid w:val="00993B96"/>
    <w:rsid w:val="00993CFE"/>
    <w:rsid w:val="009940C0"/>
    <w:rsid w:val="00994D71"/>
    <w:rsid w:val="009950C9"/>
    <w:rsid w:val="00995B9C"/>
    <w:rsid w:val="00996466"/>
    <w:rsid w:val="0099663E"/>
    <w:rsid w:val="009974CE"/>
    <w:rsid w:val="00997E98"/>
    <w:rsid w:val="00997EAB"/>
    <w:rsid w:val="009A00FF"/>
    <w:rsid w:val="009A057A"/>
    <w:rsid w:val="009A0734"/>
    <w:rsid w:val="009A0C6C"/>
    <w:rsid w:val="009A22D8"/>
    <w:rsid w:val="009A29E8"/>
    <w:rsid w:val="009A367C"/>
    <w:rsid w:val="009A3A7F"/>
    <w:rsid w:val="009A4D90"/>
    <w:rsid w:val="009A595C"/>
    <w:rsid w:val="009A5B3D"/>
    <w:rsid w:val="009A69AA"/>
    <w:rsid w:val="009B08F5"/>
    <w:rsid w:val="009B15EF"/>
    <w:rsid w:val="009B19F8"/>
    <w:rsid w:val="009B3AB7"/>
    <w:rsid w:val="009B3CC2"/>
    <w:rsid w:val="009B508D"/>
    <w:rsid w:val="009B5F9F"/>
    <w:rsid w:val="009B6022"/>
    <w:rsid w:val="009B620F"/>
    <w:rsid w:val="009C1571"/>
    <w:rsid w:val="009C1CE0"/>
    <w:rsid w:val="009C2826"/>
    <w:rsid w:val="009C3E39"/>
    <w:rsid w:val="009C4C84"/>
    <w:rsid w:val="009C627F"/>
    <w:rsid w:val="009C66CE"/>
    <w:rsid w:val="009C68E5"/>
    <w:rsid w:val="009C7947"/>
    <w:rsid w:val="009C7BDA"/>
    <w:rsid w:val="009C7D0E"/>
    <w:rsid w:val="009C7E6E"/>
    <w:rsid w:val="009D0576"/>
    <w:rsid w:val="009D126E"/>
    <w:rsid w:val="009D32E8"/>
    <w:rsid w:val="009D43F5"/>
    <w:rsid w:val="009D4543"/>
    <w:rsid w:val="009D471C"/>
    <w:rsid w:val="009D4F8C"/>
    <w:rsid w:val="009D7DB5"/>
    <w:rsid w:val="009E04FE"/>
    <w:rsid w:val="009E0C19"/>
    <w:rsid w:val="009E0D03"/>
    <w:rsid w:val="009E124A"/>
    <w:rsid w:val="009E1586"/>
    <w:rsid w:val="009E3262"/>
    <w:rsid w:val="009E3544"/>
    <w:rsid w:val="009E4EDC"/>
    <w:rsid w:val="009E6064"/>
    <w:rsid w:val="009E763F"/>
    <w:rsid w:val="009F0A9B"/>
    <w:rsid w:val="009F2412"/>
    <w:rsid w:val="009F3588"/>
    <w:rsid w:val="009F390C"/>
    <w:rsid w:val="009F3DB3"/>
    <w:rsid w:val="009F437A"/>
    <w:rsid w:val="009F45E7"/>
    <w:rsid w:val="009F58D5"/>
    <w:rsid w:val="00A0088B"/>
    <w:rsid w:val="00A00A29"/>
    <w:rsid w:val="00A00EE0"/>
    <w:rsid w:val="00A010F0"/>
    <w:rsid w:val="00A0159C"/>
    <w:rsid w:val="00A01CFF"/>
    <w:rsid w:val="00A01D4A"/>
    <w:rsid w:val="00A03541"/>
    <w:rsid w:val="00A037B9"/>
    <w:rsid w:val="00A039B5"/>
    <w:rsid w:val="00A03AAA"/>
    <w:rsid w:val="00A04048"/>
    <w:rsid w:val="00A04167"/>
    <w:rsid w:val="00A043A2"/>
    <w:rsid w:val="00A04CD4"/>
    <w:rsid w:val="00A10C43"/>
    <w:rsid w:val="00A11576"/>
    <w:rsid w:val="00A12F71"/>
    <w:rsid w:val="00A1441A"/>
    <w:rsid w:val="00A16678"/>
    <w:rsid w:val="00A16782"/>
    <w:rsid w:val="00A174E1"/>
    <w:rsid w:val="00A17C27"/>
    <w:rsid w:val="00A17EC7"/>
    <w:rsid w:val="00A20A3D"/>
    <w:rsid w:val="00A20B13"/>
    <w:rsid w:val="00A210D5"/>
    <w:rsid w:val="00A2124E"/>
    <w:rsid w:val="00A2198E"/>
    <w:rsid w:val="00A22259"/>
    <w:rsid w:val="00A239BA"/>
    <w:rsid w:val="00A23F34"/>
    <w:rsid w:val="00A25753"/>
    <w:rsid w:val="00A269F6"/>
    <w:rsid w:val="00A26B34"/>
    <w:rsid w:val="00A26EDE"/>
    <w:rsid w:val="00A271A6"/>
    <w:rsid w:val="00A2729C"/>
    <w:rsid w:val="00A274B5"/>
    <w:rsid w:val="00A310C1"/>
    <w:rsid w:val="00A31991"/>
    <w:rsid w:val="00A32180"/>
    <w:rsid w:val="00A32D4E"/>
    <w:rsid w:val="00A33128"/>
    <w:rsid w:val="00A33264"/>
    <w:rsid w:val="00A33703"/>
    <w:rsid w:val="00A33C75"/>
    <w:rsid w:val="00A33F06"/>
    <w:rsid w:val="00A34599"/>
    <w:rsid w:val="00A36350"/>
    <w:rsid w:val="00A36AC4"/>
    <w:rsid w:val="00A37692"/>
    <w:rsid w:val="00A40D4C"/>
    <w:rsid w:val="00A4200F"/>
    <w:rsid w:val="00A4357C"/>
    <w:rsid w:val="00A43C10"/>
    <w:rsid w:val="00A447EC"/>
    <w:rsid w:val="00A44D20"/>
    <w:rsid w:val="00A44FB2"/>
    <w:rsid w:val="00A45038"/>
    <w:rsid w:val="00A4506E"/>
    <w:rsid w:val="00A4507C"/>
    <w:rsid w:val="00A46DE3"/>
    <w:rsid w:val="00A47189"/>
    <w:rsid w:val="00A47D8F"/>
    <w:rsid w:val="00A501BA"/>
    <w:rsid w:val="00A50B58"/>
    <w:rsid w:val="00A51251"/>
    <w:rsid w:val="00A52073"/>
    <w:rsid w:val="00A52081"/>
    <w:rsid w:val="00A52CAD"/>
    <w:rsid w:val="00A537E8"/>
    <w:rsid w:val="00A53FA9"/>
    <w:rsid w:val="00A54F32"/>
    <w:rsid w:val="00A55469"/>
    <w:rsid w:val="00A55CC4"/>
    <w:rsid w:val="00A574C6"/>
    <w:rsid w:val="00A575C1"/>
    <w:rsid w:val="00A60551"/>
    <w:rsid w:val="00A605F6"/>
    <w:rsid w:val="00A61AF2"/>
    <w:rsid w:val="00A630CB"/>
    <w:rsid w:val="00A63E71"/>
    <w:rsid w:val="00A658E2"/>
    <w:rsid w:val="00A65BC3"/>
    <w:rsid w:val="00A668C6"/>
    <w:rsid w:val="00A678DC"/>
    <w:rsid w:val="00A71222"/>
    <w:rsid w:val="00A71981"/>
    <w:rsid w:val="00A723CD"/>
    <w:rsid w:val="00A72E88"/>
    <w:rsid w:val="00A74E77"/>
    <w:rsid w:val="00A74ED1"/>
    <w:rsid w:val="00A7535E"/>
    <w:rsid w:val="00A75C43"/>
    <w:rsid w:val="00A763A7"/>
    <w:rsid w:val="00A767BC"/>
    <w:rsid w:val="00A76A2B"/>
    <w:rsid w:val="00A77235"/>
    <w:rsid w:val="00A80A93"/>
    <w:rsid w:val="00A80AA9"/>
    <w:rsid w:val="00A8274A"/>
    <w:rsid w:val="00A84BB8"/>
    <w:rsid w:val="00A84C72"/>
    <w:rsid w:val="00A85EBB"/>
    <w:rsid w:val="00A87F14"/>
    <w:rsid w:val="00A90668"/>
    <w:rsid w:val="00A90F61"/>
    <w:rsid w:val="00A91072"/>
    <w:rsid w:val="00A911A3"/>
    <w:rsid w:val="00A91268"/>
    <w:rsid w:val="00A924A3"/>
    <w:rsid w:val="00A92923"/>
    <w:rsid w:val="00A9309F"/>
    <w:rsid w:val="00A94567"/>
    <w:rsid w:val="00A953B5"/>
    <w:rsid w:val="00A95C73"/>
    <w:rsid w:val="00A96135"/>
    <w:rsid w:val="00A962D0"/>
    <w:rsid w:val="00A962D6"/>
    <w:rsid w:val="00A96BD8"/>
    <w:rsid w:val="00A96E64"/>
    <w:rsid w:val="00A974D1"/>
    <w:rsid w:val="00AA07A2"/>
    <w:rsid w:val="00AA0FCD"/>
    <w:rsid w:val="00AA1D78"/>
    <w:rsid w:val="00AA1F0B"/>
    <w:rsid w:val="00AA2215"/>
    <w:rsid w:val="00AA3BBB"/>
    <w:rsid w:val="00AA4E74"/>
    <w:rsid w:val="00AA5DD9"/>
    <w:rsid w:val="00AA6137"/>
    <w:rsid w:val="00AA6A10"/>
    <w:rsid w:val="00AA7FB4"/>
    <w:rsid w:val="00AB034B"/>
    <w:rsid w:val="00AB07D6"/>
    <w:rsid w:val="00AB11BC"/>
    <w:rsid w:val="00AB2962"/>
    <w:rsid w:val="00AB4A25"/>
    <w:rsid w:val="00AB4B8E"/>
    <w:rsid w:val="00AB5074"/>
    <w:rsid w:val="00AB5B01"/>
    <w:rsid w:val="00AB62F0"/>
    <w:rsid w:val="00AC0504"/>
    <w:rsid w:val="00AC0566"/>
    <w:rsid w:val="00AC0CB2"/>
    <w:rsid w:val="00AC0DAD"/>
    <w:rsid w:val="00AC0EEF"/>
    <w:rsid w:val="00AC184E"/>
    <w:rsid w:val="00AC2FFE"/>
    <w:rsid w:val="00AC34AB"/>
    <w:rsid w:val="00AC49E5"/>
    <w:rsid w:val="00AC4FC2"/>
    <w:rsid w:val="00AC5953"/>
    <w:rsid w:val="00AD20C5"/>
    <w:rsid w:val="00AD2697"/>
    <w:rsid w:val="00AD30B9"/>
    <w:rsid w:val="00AD4297"/>
    <w:rsid w:val="00AD44AA"/>
    <w:rsid w:val="00AD4C90"/>
    <w:rsid w:val="00AD5084"/>
    <w:rsid w:val="00AD522F"/>
    <w:rsid w:val="00AD53EE"/>
    <w:rsid w:val="00AD60A3"/>
    <w:rsid w:val="00AE0519"/>
    <w:rsid w:val="00AE0772"/>
    <w:rsid w:val="00AE18AD"/>
    <w:rsid w:val="00AE2226"/>
    <w:rsid w:val="00AE2A98"/>
    <w:rsid w:val="00AE4175"/>
    <w:rsid w:val="00AE4B8E"/>
    <w:rsid w:val="00AE5E40"/>
    <w:rsid w:val="00AE5F8C"/>
    <w:rsid w:val="00AE6616"/>
    <w:rsid w:val="00AE663F"/>
    <w:rsid w:val="00AE79D0"/>
    <w:rsid w:val="00AF02D9"/>
    <w:rsid w:val="00AF10A8"/>
    <w:rsid w:val="00AF1D97"/>
    <w:rsid w:val="00AF29D9"/>
    <w:rsid w:val="00AF42F1"/>
    <w:rsid w:val="00AF53FB"/>
    <w:rsid w:val="00AF673E"/>
    <w:rsid w:val="00B00B31"/>
    <w:rsid w:val="00B02501"/>
    <w:rsid w:val="00B02A63"/>
    <w:rsid w:val="00B03A92"/>
    <w:rsid w:val="00B04618"/>
    <w:rsid w:val="00B04B2C"/>
    <w:rsid w:val="00B0509B"/>
    <w:rsid w:val="00B056FE"/>
    <w:rsid w:val="00B06B52"/>
    <w:rsid w:val="00B07264"/>
    <w:rsid w:val="00B07E6E"/>
    <w:rsid w:val="00B10E02"/>
    <w:rsid w:val="00B11E79"/>
    <w:rsid w:val="00B1231A"/>
    <w:rsid w:val="00B124AB"/>
    <w:rsid w:val="00B13D52"/>
    <w:rsid w:val="00B153BA"/>
    <w:rsid w:val="00B1674A"/>
    <w:rsid w:val="00B174D0"/>
    <w:rsid w:val="00B1754C"/>
    <w:rsid w:val="00B202D4"/>
    <w:rsid w:val="00B204C7"/>
    <w:rsid w:val="00B20649"/>
    <w:rsid w:val="00B20EFD"/>
    <w:rsid w:val="00B21932"/>
    <w:rsid w:val="00B21960"/>
    <w:rsid w:val="00B2281C"/>
    <w:rsid w:val="00B24606"/>
    <w:rsid w:val="00B24F68"/>
    <w:rsid w:val="00B25241"/>
    <w:rsid w:val="00B27D7B"/>
    <w:rsid w:val="00B30064"/>
    <w:rsid w:val="00B30264"/>
    <w:rsid w:val="00B30EA3"/>
    <w:rsid w:val="00B32CA4"/>
    <w:rsid w:val="00B32D33"/>
    <w:rsid w:val="00B330F2"/>
    <w:rsid w:val="00B3347F"/>
    <w:rsid w:val="00B335D2"/>
    <w:rsid w:val="00B33EA5"/>
    <w:rsid w:val="00B35D50"/>
    <w:rsid w:val="00B36857"/>
    <w:rsid w:val="00B369E8"/>
    <w:rsid w:val="00B37FD7"/>
    <w:rsid w:val="00B401C0"/>
    <w:rsid w:val="00B406FB"/>
    <w:rsid w:val="00B435DA"/>
    <w:rsid w:val="00B4436A"/>
    <w:rsid w:val="00B449E7"/>
    <w:rsid w:val="00B4539D"/>
    <w:rsid w:val="00B45B1A"/>
    <w:rsid w:val="00B46C09"/>
    <w:rsid w:val="00B470ED"/>
    <w:rsid w:val="00B471DE"/>
    <w:rsid w:val="00B47291"/>
    <w:rsid w:val="00B473DF"/>
    <w:rsid w:val="00B47617"/>
    <w:rsid w:val="00B478C4"/>
    <w:rsid w:val="00B47ABF"/>
    <w:rsid w:val="00B502DC"/>
    <w:rsid w:val="00B50647"/>
    <w:rsid w:val="00B5082F"/>
    <w:rsid w:val="00B51BBB"/>
    <w:rsid w:val="00B5268F"/>
    <w:rsid w:val="00B52804"/>
    <w:rsid w:val="00B52E3C"/>
    <w:rsid w:val="00B53793"/>
    <w:rsid w:val="00B60C92"/>
    <w:rsid w:val="00B60DE3"/>
    <w:rsid w:val="00B61272"/>
    <w:rsid w:val="00B62F15"/>
    <w:rsid w:val="00B634FD"/>
    <w:rsid w:val="00B63989"/>
    <w:rsid w:val="00B64A4A"/>
    <w:rsid w:val="00B65348"/>
    <w:rsid w:val="00B65DD5"/>
    <w:rsid w:val="00B70057"/>
    <w:rsid w:val="00B716E3"/>
    <w:rsid w:val="00B71700"/>
    <w:rsid w:val="00B72105"/>
    <w:rsid w:val="00B72A9C"/>
    <w:rsid w:val="00B7356F"/>
    <w:rsid w:val="00B76202"/>
    <w:rsid w:val="00B764F1"/>
    <w:rsid w:val="00B76CD2"/>
    <w:rsid w:val="00B77916"/>
    <w:rsid w:val="00B8029F"/>
    <w:rsid w:val="00B81281"/>
    <w:rsid w:val="00B82F90"/>
    <w:rsid w:val="00B83632"/>
    <w:rsid w:val="00B85D6D"/>
    <w:rsid w:val="00B85ECF"/>
    <w:rsid w:val="00B86104"/>
    <w:rsid w:val="00B90840"/>
    <w:rsid w:val="00B90932"/>
    <w:rsid w:val="00B92F4C"/>
    <w:rsid w:val="00B931FC"/>
    <w:rsid w:val="00B95844"/>
    <w:rsid w:val="00B958C1"/>
    <w:rsid w:val="00B95DBC"/>
    <w:rsid w:val="00B95FC9"/>
    <w:rsid w:val="00B9649D"/>
    <w:rsid w:val="00B96E5E"/>
    <w:rsid w:val="00BA04D0"/>
    <w:rsid w:val="00BA15E6"/>
    <w:rsid w:val="00BA1A9D"/>
    <w:rsid w:val="00BA1AF0"/>
    <w:rsid w:val="00BA1F6C"/>
    <w:rsid w:val="00BA2618"/>
    <w:rsid w:val="00BA5DFC"/>
    <w:rsid w:val="00BA67D8"/>
    <w:rsid w:val="00BA7449"/>
    <w:rsid w:val="00BB0274"/>
    <w:rsid w:val="00BB0D3C"/>
    <w:rsid w:val="00BB12D3"/>
    <w:rsid w:val="00BB12FA"/>
    <w:rsid w:val="00BB242E"/>
    <w:rsid w:val="00BB249C"/>
    <w:rsid w:val="00BB375C"/>
    <w:rsid w:val="00BB38BF"/>
    <w:rsid w:val="00BB467E"/>
    <w:rsid w:val="00BB5096"/>
    <w:rsid w:val="00BB6321"/>
    <w:rsid w:val="00BB68C5"/>
    <w:rsid w:val="00BB6DFE"/>
    <w:rsid w:val="00BB78CF"/>
    <w:rsid w:val="00BB7D0A"/>
    <w:rsid w:val="00BC0014"/>
    <w:rsid w:val="00BC0AF6"/>
    <w:rsid w:val="00BC11FF"/>
    <w:rsid w:val="00BC1E21"/>
    <w:rsid w:val="00BC2283"/>
    <w:rsid w:val="00BC2C81"/>
    <w:rsid w:val="00BC3258"/>
    <w:rsid w:val="00BC35F1"/>
    <w:rsid w:val="00BC3B16"/>
    <w:rsid w:val="00BC3F5A"/>
    <w:rsid w:val="00BC4E72"/>
    <w:rsid w:val="00BC5865"/>
    <w:rsid w:val="00BC5A86"/>
    <w:rsid w:val="00BC5C8D"/>
    <w:rsid w:val="00BC6A0D"/>
    <w:rsid w:val="00BC7513"/>
    <w:rsid w:val="00BC7A7B"/>
    <w:rsid w:val="00BD05B8"/>
    <w:rsid w:val="00BD09D2"/>
    <w:rsid w:val="00BD09EE"/>
    <w:rsid w:val="00BD0F4A"/>
    <w:rsid w:val="00BD11F0"/>
    <w:rsid w:val="00BD13E0"/>
    <w:rsid w:val="00BD1A38"/>
    <w:rsid w:val="00BD21D0"/>
    <w:rsid w:val="00BD2A0E"/>
    <w:rsid w:val="00BD2A70"/>
    <w:rsid w:val="00BD30E2"/>
    <w:rsid w:val="00BD3368"/>
    <w:rsid w:val="00BD668B"/>
    <w:rsid w:val="00BE049E"/>
    <w:rsid w:val="00BE0721"/>
    <w:rsid w:val="00BE0749"/>
    <w:rsid w:val="00BE0A18"/>
    <w:rsid w:val="00BE10C0"/>
    <w:rsid w:val="00BE1F85"/>
    <w:rsid w:val="00BE299E"/>
    <w:rsid w:val="00BE2A4B"/>
    <w:rsid w:val="00BE2F25"/>
    <w:rsid w:val="00BE3381"/>
    <w:rsid w:val="00BE33BF"/>
    <w:rsid w:val="00BE3BDA"/>
    <w:rsid w:val="00BE508F"/>
    <w:rsid w:val="00BE7ADF"/>
    <w:rsid w:val="00BF00BF"/>
    <w:rsid w:val="00BF0208"/>
    <w:rsid w:val="00BF0339"/>
    <w:rsid w:val="00BF0390"/>
    <w:rsid w:val="00BF20D5"/>
    <w:rsid w:val="00BF2A94"/>
    <w:rsid w:val="00BF3413"/>
    <w:rsid w:val="00BF3A18"/>
    <w:rsid w:val="00BF422A"/>
    <w:rsid w:val="00BF5703"/>
    <w:rsid w:val="00BF5908"/>
    <w:rsid w:val="00BF59EA"/>
    <w:rsid w:val="00BF74DD"/>
    <w:rsid w:val="00C004BA"/>
    <w:rsid w:val="00C01E90"/>
    <w:rsid w:val="00C02B50"/>
    <w:rsid w:val="00C02B98"/>
    <w:rsid w:val="00C03DE3"/>
    <w:rsid w:val="00C041CD"/>
    <w:rsid w:val="00C04B6B"/>
    <w:rsid w:val="00C04E2D"/>
    <w:rsid w:val="00C06B96"/>
    <w:rsid w:val="00C11F7A"/>
    <w:rsid w:val="00C12670"/>
    <w:rsid w:val="00C13221"/>
    <w:rsid w:val="00C15800"/>
    <w:rsid w:val="00C160B1"/>
    <w:rsid w:val="00C16F7D"/>
    <w:rsid w:val="00C20259"/>
    <w:rsid w:val="00C21BDF"/>
    <w:rsid w:val="00C23D9A"/>
    <w:rsid w:val="00C259D4"/>
    <w:rsid w:val="00C260C7"/>
    <w:rsid w:val="00C2643F"/>
    <w:rsid w:val="00C267FD"/>
    <w:rsid w:val="00C278A4"/>
    <w:rsid w:val="00C27946"/>
    <w:rsid w:val="00C3139D"/>
    <w:rsid w:val="00C32ED7"/>
    <w:rsid w:val="00C33332"/>
    <w:rsid w:val="00C33A59"/>
    <w:rsid w:val="00C33F57"/>
    <w:rsid w:val="00C343C5"/>
    <w:rsid w:val="00C34FBB"/>
    <w:rsid w:val="00C34FE4"/>
    <w:rsid w:val="00C41DA1"/>
    <w:rsid w:val="00C42B27"/>
    <w:rsid w:val="00C43290"/>
    <w:rsid w:val="00C449DA"/>
    <w:rsid w:val="00C44FE6"/>
    <w:rsid w:val="00C479D0"/>
    <w:rsid w:val="00C50B44"/>
    <w:rsid w:val="00C51D22"/>
    <w:rsid w:val="00C5203F"/>
    <w:rsid w:val="00C52982"/>
    <w:rsid w:val="00C52BF7"/>
    <w:rsid w:val="00C548F7"/>
    <w:rsid w:val="00C554F1"/>
    <w:rsid w:val="00C563E6"/>
    <w:rsid w:val="00C57836"/>
    <w:rsid w:val="00C60355"/>
    <w:rsid w:val="00C61651"/>
    <w:rsid w:val="00C61CBA"/>
    <w:rsid w:val="00C62442"/>
    <w:rsid w:val="00C63663"/>
    <w:rsid w:val="00C63942"/>
    <w:rsid w:val="00C64C81"/>
    <w:rsid w:val="00C6541A"/>
    <w:rsid w:val="00C65B17"/>
    <w:rsid w:val="00C66146"/>
    <w:rsid w:val="00C662D3"/>
    <w:rsid w:val="00C6633E"/>
    <w:rsid w:val="00C66C57"/>
    <w:rsid w:val="00C66DE7"/>
    <w:rsid w:val="00C701BB"/>
    <w:rsid w:val="00C7144A"/>
    <w:rsid w:val="00C72BB1"/>
    <w:rsid w:val="00C72C40"/>
    <w:rsid w:val="00C7300F"/>
    <w:rsid w:val="00C73684"/>
    <w:rsid w:val="00C74A1C"/>
    <w:rsid w:val="00C74A40"/>
    <w:rsid w:val="00C753A7"/>
    <w:rsid w:val="00C76156"/>
    <w:rsid w:val="00C76E37"/>
    <w:rsid w:val="00C814EE"/>
    <w:rsid w:val="00C82BC1"/>
    <w:rsid w:val="00C836D4"/>
    <w:rsid w:val="00C84CB6"/>
    <w:rsid w:val="00C856A7"/>
    <w:rsid w:val="00C85D05"/>
    <w:rsid w:val="00C86AA2"/>
    <w:rsid w:val="00C86AC2"/>
    <w:rsid w:val="00C875CD"/>
    <w:rsid w:val="00C87607"/>
    <w:rsid w:val="00C87B78"/>
    <w:rsid w:val="00C87EDC"/>
    <w:rsid w:val="00C9103C"/>
    <w:rsid w:val="00C91E80"/>
    <w:rsid w:val="00C928AB"/>
    <w:rsid w:val="00C92AAB"/>
    <w:rsid w:val="00C94474"/>
    <w:rsid w:val="00C95C40"/>
    <w:rsid w:val="00C9612C"/>
    <w:rsid w:val="00CA0D6D"/>
    <w:rsid w:val="00CA11E0"/>
    <w:rsid w:val="00CA2734"/>
    <w:rsid w:val="00CA2A38"/>
    <w:rsid w:val="00CA3487"/>
    <w:rsid w:val="00CA3F65"/>
    <w:rsid w:val="00CA45F6"/>
    <w:rsid w:val="00CA5F83"/>
    <w:rsid w:val="00CA70D9"/>
    <w:rsid w:val="00CB023A"/>
    <w:rsid w:val="00CB1358"/>
    <w:rsid w:val="00CB20B0"/>
    <w:rsid w:val="00CB216A"/>
    <w:rsid w:val="00CB2BBA"/>
    <w:rsid w:val="00CB4276"/>
    <w:rsid w:val="00CB4B7A"/>
    <w:rsid w:val="00CB4D36"/>
    <w:rsid w:val="00CB6130"/>
    <w:rsid w:val="00CB6D50"/>
    <w:rsid w:val="00CB7AAC"/>
    <w:rsid w:val="00CC0001"/>
    <w:rsid w:val="00CC0638"/>
    <w:rsid w:val="00CC2CAA"/>
    <w:rsid w:val="00CC3082"/>
    <w:rsid w:val="00CC3982"/>
    <w:rsid w:val="00CC7C93"/>
    <w:rsid w:val="00CD05B2"/>
    <w:rsid w:val="00CD22BF"/>
    <w:rsid w:val="00CD3CCB"/>
    <w:rsid w:val="00CD4D33"/>
    <w:rsid w:val="00CD51BB"/>
    <w:rsid w:val="00CD53E6"/>
    <w:rsid w:val="00CD6682"/>
    <w:rsid w:val="00CD6B21"/>
    <w:rsid w:val="00CD6E87"/>
    <w:rsid w:val="00CD6EFA"/>
    <w:rsid w:val="00CD7583"/>
    <w:rsid w:val="00CD7884"/>
    <w:rsid w:val="00CD7A4C"/>
    <w:rsid w:val="00CE0B0D"/>
    <w:rsid w:val="00CE10B5"/>
    <w:rsid w:val="00CE1190"/>
    <w:rsid w:val="00CE24C7"/>
    <w:rsid w:val="00CE2C43"/>
    <w:rsid w:val="00CE301B"/>
    <w:rsid w:val="00CE422D"/>
    <w:rsid w:val="00CE4E96"/>
    <w:rsid w:val="00CE51E3"/>
    <w:rsid w:val="00CE5690"/>
    <w:rsid w:val="00CE5A9C"/>
    <w:rsid w:val="00CE6251"/>
    <w:rsid w:val="00CE6C3D"/>
    <w:rsid w:val="00CE7128"/>
    <w:rsid w:val="00CF12AA"/>
    <w:rsid w:val="00CF138C"/>
    <w:rsid w:val="00CF16B0"/>
    <w:rsid w:val="00CF1853"/>
    <w:rsid w:val="00CF1A1A"/>
    <w:rsid w:val="00CF2162"/>
    <w:rsid w:val="00CF331A"/>
    <w:rsid w:val="00CF36FD"/>
    <w:rsid w:val="00CF3CDA"/>
    <w:rsid w:val="00CF5F01"/>
    <w:rsid w:val="00CF7F83"/>
    <w:rsid w:val="00D006A7"/>
    <w:rsid w:val="00D01734"/>
    <w:rsid w:val="00D01DA7"/>
    <w:rsid w:val="00D025C2"/>
    <w:rsid w:val="00D02619"/>
    <w:rsid w:val="00D03CED"/>
    <w:rsid w:val="00D07C8D"/>
    <w:rsid w:val="00D107CB"/>
    <w:rsid w:val="00D118C4"/>
    <w:rsid w:val="00D11AA2"/>
    <w:rsid w:val="00D12504"/>
    <w:rsid w:val="00D1416D"/>
    <w:rsid w:val="00D14263"/>
    <w:rsid w:val="00D15680"/>
    <w:rsid w:val="00D157F1"/>
    <w:rsid w:val="00D16C4A"/>
    <w:rsid w:val="00D16D58"/>
    <w:rsid w:val="00D17928"/>
    <w:rsid w:val="00D17B68"/>
    <w:rsid w:val="00D17E7D"/>
    <w:rsid w:val="00D17ECE"/>
    <w:rsid w:val="00D21C7C"/>
    <w:rsid w:val="00D24EC9"/>
    <w:rsid w:val="00D2679E"/>
    <w:rsid w:val="00D268B5"/>
    <w:rsid w:val="00D26D04"/>
    <w:rsid w:val="00D274B0"/>
    <w:rsid w:val="00D27FAC"/>
    <w:rsid w:val="00D30110"/>
    <w:rsid w:val="00D33141"/>
    <w:rsid w:val="00D352B8"/>
    <w:rsid w:val="00D357CA"/>
    <w:rsid w:val="00D36574"/>
    <w:rsid w:val="00D36957"/>
    <w:rsid w:val="00D36BAC"/>
    <w:rsid w:val="00D371CA"/>
    <w:rsid w:val="00D37254"/>
    <w:rsid w:val="00D40DDB"/>
    <w:rsid w:val="00D41612"/>
    <w:rsid w:val="00D43523"/>
    <w:rsid w:val="00D43F2F"/>
    <w:rsid w:val="00D44EEB"/>
    <w:rsid w:val="00D44F77"/>
    <w:rsid w:val="00D4550B"/>
    <w:rsid w:val="00D45C96"/>
    <w:rsid w:val="00D46FD9"/>
    <w:rsid w:val="00D4748D"/>
    <w:rsid w:val="00D47C8C"/>
    <w:rsid w:val="00D504D5"/>
    <w:rsid w:val="00D50BF9"/>
    <w:rsid w:val="00D53D72"/>
    <w:rsid w:val="00D54B2A"/>
    <w:rsid w:val="00D55743"/>
    <w:rsid w:val="00D55832"/>
    <w:rsid w:val="00D5758F"/>
    <w:rsid w:val="00D57DBD"/>
    <w:rsid w:val="00D60BB6"/>
    <w:rsid w:val="00D627A4"/>
    <w:rsid w:val="00D6320D"/>
    <w:rsid w:val="00D63D76"/>
    <w:rsid w:val="00D63F24"/>
    <w:rsid w:val="00D66F0A"/>
    <w:rsid w:val="00D6774B"/>
    <w:rsid w:val="00D67E09"/>
    <w:rsid w:val="00D67E54"/>
    <w:rsid w:val="00D726A3"/>
    <w:rsid w:val="00D72758"/>
    <w:rsid w:val="00D72DF0"/>
    <w:rsid w:val="00D73031"/>
    <w:rsid w:val="00D73244"/>
    <w:rsid w:val="00D7355D"/>
    <w:rsid w:val="00D73AB9"/>
    <w:rsid w:val="00D73E24"/>
    <w:rsid w:val="00D75DA6"/>
    <w:rsid w:val="00D76219"/>
    <w:rsid w:val="00D76A8A"/>
    <w:rsid w:val="00D77CFD"/>
    <w:rsid w:val="00D8020F"/>
    <w:rsid w:val="00D80FE3"/>
    <w:rsid w:val="00D8133A"/>
    <w:rsid w:val="00D81D11"/>
    <w:rsid w:val="00D81D85"/>
    <w:rsid w:val="00D86105"/>
    <w:rsid w:val="00D863B7"/>
    <w:rsid w:val="00D86499"/>
    <w:rsid w:val="00D86846"/>
    <w:rsid w:val="00D86C6D"/>
    <w:rsid w:val="00D87711"/>
    <w:rsid w:val="00D906A6"/>
    <w:rsid w:val="00D90D3C"/>
    <w:rsid w:val="00D90E06"/>
    <w:rsid w:val="00D91B9F"/>
    <w:rsid w:val="00D92918"/>
    <w:rsid w:val="00D93A24"/>
    <w:rsid w:val="00D94082"/>
    <w:rsid w:val="00D94EC1"/>
    <w:rsid w:val="00D957FB"/>
    <w:rsid w:val="00D9710B"/>
    <w:rsid w:val="00DA1305"/>
    <w:rsid w:val="00DA13DF"/>
    <w:rsid w:val="00DA1CD5"/>
    <w:rsid w:val="00DA2F89"/>
    <w:rsid w:val="00DA3246"/>
    <w:rsid w:val="00DA3FAE"/>
    <w:rsid w:val="00DA45EB"/>
    <w:rsid w:val="00DA48A8"/>
    <w:rsid w:val="00DA6B66"/>
    <w:rsid w:val="00DB1641"/>
    <w:rsid w:val="00DB1C12"/>
    <w:rsid w:val="00DB20C3"/>
    <w:rsid w:val="00DB394B"/>
    <w:rsid w:val="00DB3B1F"/>
    <w:rsid w:val="00DB3D39"/>
    <w:rsid w:val="00DB5934"/>
    <w:rsid w:val="00DB6150"/>
    <w:rsid w:val="00DB65C0"/>
    <w:rsid w:val="00DC028E"/>
    <w:rsid w:val="00DC050E"/>
    <w:rsid w:val="00DC05E9"/>
    <w:rsid w:val="00DC0E0F"/>
    <w:rsid w:val="00DC0F51"/>
    <w:rsid w:val="00DC4636"/>
    <w:rsid w:val="00DC4C54"/>
    <w:rsid w:val="00DC52A0"/>
    <w:rsid w:val="00DC5C4C"/>
    <w:rsid w:val="00DC706D"/>
    <w:rsid w:val="00DC73B1"/>
    <w:rsid w:val="00DC79F2"/>
    <w:rsid w:val="00DC7D7F"/>
    <w:rsid w:val="00DD0936"/>
    <w:rsid w:val="00DD0D91"/>
    <w:rsid w:val="00DD103C"/>
    <w:rsid w:val="00DD151E"/>
    <w:rsid w:val="00DD1707"/>
    <w:rsid w:val="00DD185D"/>
    <w:rsid w:val="00DD4D1A"/>
    <w:rsid w:val="00DD59FE"/>
    <w:rsid w:val="00DD6D66"/>
    <w:rsid w:val="00DD723A"/>
    <w:rsid w:val="00DE00E7"/>
    <w:rsid w:val="00DE032E"/>
    <w:rsid w:val="00DE034B"/>
    <w:rsid w:val="00DE0375"/>
    <w:rsid w:val="00DE0B91"/>
    <w:rsid w:val="00DE170C"/>
    <w:rsid w:val="00DE171F"/>
    <w:rsid w:val="00DE247C"/>
    <w:rsid w:val="00DE3886"/>
    <w:rsid w:val="00DE44A8"/>
    <w:rsid w:val="00DE62A4"/>
    <w:rsid w:val="00DE6EE5"/>
    <w:rsid w:val="00DE7B3A"/>
    <w:rsid w:val="00DF14DD"/>
    <w:rsid w:val="00DF3227"/>
    <w:rsid w:val="00DF3F59"/>
    <w:rsid w:val="00DF473E"/>
    <w:rsid w:val="00DF514F"/>
    <w:rsid w:val="00DF544A"/>
    <w:rsid w:val="00DF55CC"/>
    <w:rsid w:val="00DF5B46"/>
    <w:rsid w:val="00DF77F8"/>
    <w:rsid w:val="00E001F1"/>
    <w:rsid w:val="00E01B69"/>
    <w:rsid w:val="00E0211A"/>
    <w:rsid w:val="00E02430"/>
    <w:rsid w:val="00E03E70"/>
    <w:rsid w:val="00E040F5"/>
    <w:rsid w:val="00E042A8"/>
    <w:rsid w:val="00E06122"/>
    <w:rsid w:val="00E07361"/>
    <w:rsid w:val="00E07BFA"/>
    <w:rsid w:val="00E113BA"/>
    <w:rsid w:val="00E11BB6"/>
    <w:rsid w:val="00E11D5C"/>
    <w:rsid w:val="00E1290A"/>
    <w:rsid w:val="00E12AF2"/>
    <w:rsid w:val="00E12FA4"/>
    <w:rsid w:val="00E1553F"/>
    <w:rsid w:val="00E15872"/>
    <w:rsid w:val="00E158DD"/>
    <w:rsid w:val="00E17997"/>
    <w:rsid w:val="00E220CD"/>
    <w:rsid w:val="00E227FE"/>
    <w:rsid w:val="00E228B0"/>
    <w:rsid w:val="00E23914"/>
    <w:rsid w:val="00E23921"/>
    <w:rsid w:val="00E23DE0"/>
    <w:rsid w:val="00E243F5"/>
    <w:rsid w:val="00E24688"/>
    <w:rsid w:val="00E24C83"/>
    <w:rsid w:val="00E24EE5"/>
    <w:rsid w:val="00E25F93"/>
    <w:rsid w:val="00E26481"/>
    <w:rsid w:val="00E26E5E"/>
    <w:rsid w:val="00E32956"/>
    <w:rsid w:val="00E3350F"/>
    <w:rsid w:val="00E339F5"/>
    <w:rsid w:val="00E3459B"/>
    <w:rsid w:val="00E34800"/>
    <w:rsid w:val="00E34C81"/>
    <w:rsid w:val="00E35487"/>
    <w:rsid w:val="00E3556D"/>
    <w:rsid w:val="00E3574C"/>
    <w:rsid w:val="00E359B3"/>
    <w:rsid w:val="00E35B38"/>
    <w:rsid w:val="00E35BDC"/>
    <w:rsid w:val="00E35C54"/>
    <w:rsid w:val="00E360EE"/>
    <w:rsid w:val="00E36EE7"/>
    <w:rsid w:val="00E40578"/>
    <w:rsid w:val="00E40EF7"/>
    <w:rsid w:val="00E415C1"/>
    <w:rsid w:val="00E41F85"/>
    <w:rsid w:val="00E41F8A"/>
    <w:rsid w:val="00E42AF9"/>
    <w:rsid w:val="00E43B37"/>
    <w:rsid w:val="00E456BD"/>
    <w:rsid w:val="00E45C92"/>
    <w:rsid w:val="00E46508"/>
    <w:rsid w:val="00E46760"/>
    <w:rsid w:val="00E51243"/>
    <w:rsid w:val="00E52B7F"/>
    <w:rsid w:val="00E534C7"/>
    <w:rsid w:val="00E538F6"/>
    <w:rsid w:val="00E53A1B"/>
    <w:rsid w:val="00E5506C"/>
    <w:rsid w:val="00E5601A"/>
    <w:rsid w:val="00E566DD"/>
    <w:rsid w:val="00E56EDC"/>
    <w:rsid w:val="00E575DE"/>
    <w:rsid w:val="00E57BC8"/>
    <w:rsid w:val="00E60019"/>
    <w:rsid w:val="00E60378"/>
    <w:rsid w:val="00E6047A"/>
    <w:rsid w:val="00E60653"/>
    <w:rsid w:val="00E61565"/>
    <w:rsid w:val="00E6183C"/>
    <w:rsid w:val="00E61DA0"/>
    <w:rsid w:val="00E639ED"/>
    <w:rsid w:val="00E6476B"/>
    <w:rsid w:val="00E658B2"/>
    <w:rsid w:val="00E6601E"/>
    <w:rsid w:val="00E66C5A"/>
    <w:rsid w:val="00E708AD"/>
    <w:rsid w:val="00E71446"/>
    <w:rsid w:val="00E71795"/>
    <w:rsid w:val="00E726E1"/>
    <w:rsid w:val="00E72703"/>
    <w:rsid w:val="00E727E6"/>
    <w:rsid w:val="00E734FA"/>
    <w:rsid w:val="00E74745"/>
    <w:rsid w:val="00E756F8"/>
    <w:rsid w:val="00E75B6F"/>
    <w:rsid w:val="00E768C2"/>
    <w:rsid w:val="00E769BC"/>
    <w:rsid w:val="00E76C86"/>
    <w:rsid w:val="00E817C8"/>
    <w:rsid w:val="00E826E9"/>
    <w:rsid w:val="00E82B39"/>
    <w:rsid w:val="00E83692"/>
    <w:rsid w:val="00E83C3C"/>
    <w:rsid w:val="00E8440C"/>
    <w:rsid w:val="00E84D0E"/>
    <w:rsid w:val="00E84EBF"/>
    <w:rsid w:val="00E866E9"/>
    <w:rsid w:val="00E90718"/>
    <w:rsid w:val="00E909DD"/>
    <w:rsid w:val="00E9242D"/>
    <w:rsid w:val="00E92EB8"/>
    <w:rsid w:val="00E930A6"/>
    <w:rsid w:val="00E94300"/>
    <w:rsid w:val="00E95C1C"/>
    <w:rsid w:val="00E95E48"/>
    <w:rsid w:val="00E967B5"/>
    <w:rsid w:val="00E971FA"/>
    <w:rsid w:val="00E97371"/>
    <w:rsid w:val="00EA01C3"/>
    <w:rsid w:val="00EA04DF"/>
    <w:rsid w:val="00EA1DB2"/>
    <w:rsid w:val="00EA38B9"/>
    <w:rsid w:val="00EA4443"/>
    <w:rsid w:val="00EA530A"/>
    <w:rsid w:val="00EA5551"/>
    <w:rsid w:val="00EA5559"/>
    <w:rsid w:val="00EA601F"/>
    <w:rsid w:val="00EA6D6D"/>
    <w:rsid w:val="00EA72E7"/>
    <w:rsid w:val="00EB0C9F"/>
    <w:rsid w:val="00EB18FC"/>
    <w:rsid w:val="00EB1DC1"/>
    <w:rsid w:val="00EB2316"/>
    <w:rsid w:val="00EB235E"/>
    <w:rsid w:val="00EB2ED5"/>
    <w:rsid w:val="00EB4196"/>
    <w:rsid w:val="00EB41BD"/>
    <w:rsid w:val="00EB470E"/>
    <w:rsid w:val="00EB48EF"/>
    <w:rsid w:val="00EB4E5F"/>
    <w:rsid w:val="00EB5A0E"/>
    <w:rsid w:val="00EB764F"/>
    <w:rsid w:val="00EB7F35"/>
    <w:rsid w:val="00EC0802"/>
    <w:rsid w:val="00EC0A53"/>
    <w:rsid w:val="00EC0E91"/>
    <w:rsid w:val="00EC0FC1"/>
    <w:rsid w:val="00EC441C"/>
    <w:rsid w:val="00EC4A87"/>
    <w:rsid w:val="00EC4C41"/>
    <w:rsid w:val="00EC512C"/>
    <w:rsid w:val="00EC54B0"/>
    <w:rsid w:val="00EC5CAD"/>
    <w:rsid w:val="00EC7505"/>
    <w:rsid w:val="00EC788B"/>
    <w:rsid w:val="00EC7B0B"/>
    <w:rsid w:val="00ED0A3C"/>
    <w:rsid w:val="00ED0FE8"/>
    <w:rsid w:val="00ED1B3A"/>
    <w:rsid w:val="00ED28A9"/>
    <w:rsid w:val="00ED4F01"/>
    <w:rsid w:val="00ED50E5"/>
    <w:rsid w:val="00ED680B"/>
    <w:rsid w:val="00ED7A6A"/>
    <w:rsid w:val="00EE0342"/>
    <w:rsid w:val="00EE1537"/>
    <w:rsid w:val="00EE2F1F"/>
    <w:rsid w:val="00EE4068"/>
    <w:rsid w:val="00EE6050"/>
    <w:rsid w:val="00EE78FD"/>
    <w:rsid w:val="00EE7C20"/>
    <w:rsid w:val="00EF1F2A"/>
    <w:rsid w:val="00EF2025"/>
    <w:rsid w:val="00EF2A8E"/>
    <w:rsid w:val="00EF3DD1"/>
    <w:rsid w:val="00EF448D"/>
    <w:rsid w:val="00EF450B"/>
    <w:rsid w:val="00EF4943"/>
    <w:rsid w:val="00EF4EAD"/>
    <w:rsid w:val="00EF53CE"/>
    <w:rsid w:val="00EF5905"/>
    <w:rsid w:val="00EF597A"/>
    <w:rsid w:val="00EF7393"/>
    <w:rsid w:val="00EF7716"/>
    <w:rsid w:val="00F01B5E"/>
    <w:rsid w:val="00F02CB6"/>
    <w:rsid w:val="00F03A69"/>
    <w:rsid w:val="00F05361"/>
    <w:rsid w:val="00F0694A"/>
    <w:rsid w:val="00F07567"/>
    <w:rsid w:val="00F0765F"/>
    <w:rsid w:val="00F1068D"/>
    <w:rsid w:val="00F109D6"/>
    <w:rsid w:val="00F11CD8"/>
    <w:rsid w:val="00F12718"/>
    <w:rsid w:val="00F12BA8"/>
    <w:rsid w:val="00F166B7"/>
    <w:rsid w:val="00F175F5"/>
    <w:rsid w:val="00F176FB"/>
    <w:rsid w:val="00F17CB8"/>
    <w:rsid w:val="00F17DB3"/>
    <w:rsid w:val="00F200B5"/>
    <w:rsid w:val="00F20DB1"/>
    <w:rsid w:val="00F2128B"/>
    <w:rsid w:val="00F2170A"/>
    <w:rsid w:val="00F22BDF"/>
    <w:rsid w:val="00F23566"/>
    <w:rsid w:val="00F2393B"/>
    <w:rsid w:val="00F241E1"/>
    <w:rsid w:val="00F25605"/>
    <w:rsid w:val="00F25956"/>
    <w:rsid w:val="00F25AFA"/>
    <w:rsid w:val="00F26FFE"/>
    <w:rsid w:val="00F27C7C"/>
    <w:rsid w:val="00F32A3A"/>
    <w:rsid w:val="00F330DB"/>
    <w:rsid w:val="00F34525"/>
    <w:rsid w:val="00F356D8"/>
    <w:rsid w:val="00F3579F"/>
    <w:rsid w:val="00F35B23"/>
    <w:rsid w:val="00F3616A"/>
    <w:rsid w:val="00F37119"/>
    <w:rsid w:val="00F37145"/>
    <w:rsid w:val="00F405CD"/>
    <w:rsid w:val="00F41372"/>
    <w:rsid w:val="00F41C85"/>
    <w:rsid w:val="00F44B0E"/>
    <w:rsid w:val="00F45B6B"/>
    <w:rsid w:val="00F45B6C"/>
    <w:rsid w:val="00F464F0"/>
    <w:rsid w:val="00F4681C"/>
    <w:rsid w:val="00F474E7"/>
    <w:rsid w:val="00F47BEB"/>
    <w:rsid w:val="00F50041"/>
    <w:rsid w:val="00F5024C"/>
    <w:rsid w:val="00F50724"/>
    <w:rsid w:val="00F50A1A"/>
    <w:rsid w:val="00F51BDB"/>
    <w:rsid w:val="00F52BE6"/>
    <w:rsid w:val="00F54163"/>
    <w:rsid w:val="00F55128"/>
    <w:rsid w:val="00F552C9"/>
    <w:rsid w:val="00F55751"/>
    <w:rsid w:val="00F55B11"/>
    <w:rsid w:val="00F55B19"/>
    <w:rsid w:val="00F562CE"/>
    <w:rsid w:val="00F613EC"/>
    <w:rsid w:val="00F61754"/>
    <w:rsid w:val="00F618D8"/>
    <w:rsid w:val="00F62167"/>
    <w:rsid w:val="00F6232D"/>
    <w:rsid w:val="00F62FF0"/>
    <w:rsid w:val="00F63224"/>
    <w:rsid w:val="00F635CC"/>
    <w:rsid w:val="00F640A9"/>
    <w:rsid w:val="00F649F3"/>
    <w:rsid w:val="00F654C9"/>
    <w:rsid w:val="00F7066B"/>
    <w:rsid w:val="00F71C49"/>
    <w:rsid w:val="00F72B4C"/>
    <w:rsid w:val="00F7307E"/>
    <w:rsid w:val="00F73DF3"/>
    <w:rsid w:val="00F741FA"/>
    <w:rsid w:val="00F75444"/>
    <w:rsid w:val="00F75457"/>
    <w:rsid w:val="00F75739"/>
    <w:rsid w:val="00F76E13"/>
    <w:rsid w:val="00F77405"/>
    <w:rsid w:val="00F80A19"/>
    <w:rsid w:val="00F8196F"/>
    <w:rsid w:val="00F8237C"/>
    <w:rsid w:val="00F82817"/>
    <w:rsid w:val="00F834E8"/>
    <w:rsid w:val="00F8396D"/>
    <w:rsid w:val="00F84557"/>
    <w:rsid w:val="00F85384"/>
    <w:rsid w:val="00F8587C"/>
    <w:rsid w:val="00F862A4"/>
    <w:rsid w:val="00F8718B"/>
    <w:rsid w:val="00F903B1"/>
    <w:rsid w:val="00F90519"/>
    <w:rsid w:val="00F90BE6"/>
    <w:rsid w:val="00F91964"/>
    <w:rsid w:val="00F9204A"/>
    <w:rsid w:val="00F9225B"/>
    <w:rsid w:val="00F92ADA"/>
    <w:rsid w:val="00F938A2"/>
    <w:rsid w:val="00F94554"/>
    <w:rsid w:val="00F94D2E"/>
    <w:rsid w:val="00F95048"/>
    <w:rsid w:val="00F96B13"/>
    <w:rsid w:val="00F97E0D"/>
    <w:rsid w:val="00FA147E"/>
    <w:rsid w:val="00FA2280"/>
    <w:rsid w:val="00FA2446"/>
    <w:rsid w:val="00FA2DE4"/>
    <w:rsid w:val="00FA3C79"/>
    <w:rsid w:val="00FA4369"/>
    <w:rsid w:val="00FA4EF8"/>
    <w:rsid w:val="00FA519F"/>
    <w:rsid w:val="00FA56F8"/>
    <w:rsid w:val="00FA56FC"/>
    <w:rsid w:val="00FA5A01"/>
    <w:rsid w:val="00FA6450"/>
    <w:rsid w:val="00FA6C85"/>
    <w:rsid w:val="00FA6CD2"/>
    <w:rsid w:val="00FA7E46"/>
    <w:rsid w:val="00FB0A5A"/>
    <w:rsid w:val="00FB1FAC"/>
    <w:rsid w:val="00FB3338"/>
    <w:rsid w:val="00FB5463"/>
    <w:rsid w:val="00FB5FB6"/>
    <w:rsid w:val="00FB74BE"/>
    <w:rsid w:val="00FC0DBE"/>
    <w:rsid w:val="00FC2296"/>
    <w:rsid w:val="00FC2956"/>
    <w:rsid w:val="00FC3347"/>
    <w:rsid w:val="00FC45B0"/>
    <w:rsid w:val="00FC49FE"/>
    <w:rsid w:val="00FC574F"/>
    <w:rsid w:val="00FC6248"/>
    <w:rsid w:val="00FC68FE"/>
    <w:rsid w:val="00FD0DBD"/>
    <w:rsid w:val="00FD16D3"/>
    <w:rsid w:val="00FD1FED"/>
    <w:rsid w:val="00FD3647"/>
    <w:rsid w:val="00FD36D5"/>
    <w:rsid w:val="00FD446C"/>
    <w:rsid w:val="00FD4527"/>
    <w:rsid w:val="00FD46C6"/>
    <w:rsid w:val="00FD5129"/>
    <w:rsid w:val="00FD589D"/>
    <w:rsid w:val="00FD6849"/>
    <w:rsid w:val="00FD6A61"/>
    <w:rsid w:val="00FE0689"/>
    <w:rsid w:val="00FE1ED2"/>
    <w:rsid w:val="00FE3169"/>
    <w:rsid w:val="00FE56CA"/>
    <w:rsid w:val="00FE5EED"/>
    <w:rsid w:val="00FE7259"/>
    <w:rsid w:val="00FE7579"/>
    <w:rsid w:val="00FE7B4E"/>
    <w:rsid w:val="00FF0199"/>
    <w:rsid w:val="00FF0D46"/>
    <w:rsid w:val="00FF0F9D"/>
    <w:rsid w:val="00FF1DB4"/>
    <w:rsid w:val="00FF22A1"/>
    <w:rsid w:val="00FF2356"/>
    <w:rsid w:val="00FF3BE1"/>
    <w:rsid w:val="00FF4D98"/>
    <w:rsid w:val="00FF5A5F"/>
    <w:rsid w:val="00FF6039"/>
    <w:rsid w:val="00FF6345"/>
    <w:rsid w:val="00FF7177"/>
    <w:rsid w:val="00FF7D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3338"/>
    <w:pPr>
      <w:jc w:val="both"/>
    </w:pPr>
    <w:rPr>
      <w:sz w:val="22"/>
      <w:szCs w:val="22"/>
      <w:lang w:eastAsia="en-US"/>
    </w:rPr>
  </w:style>
  <w:style w:type="paragraph" w:styleId="Titolo2">
    <w:name w:val="heading 2"/>
    <w:basedOn w:val="Normale"/>
    <w:next w:val="Normale"/>
    <w:link w:val="Titolo2Carattere"/>
    <w:semiHidden/>
    <w:unhideWhenUsed/>
    <w:qFormat/>
    <w:rsid w:val="00737445"/>
    <w:pPr>
      <w:keepNext/>
      <w:spacing w:before="240" w:after="60"/>
      <w:ind w:firstLine="284"/>
      <w:outlineLvl w:val="1"/>
    </w:pPr>
    <w:rPr>
      <w:rFonts w:ascii="Cambria" w:eastAsia="Times New Roman"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84993"/>
    <w:rPr>
      <w:rFonts w:ascii="Tahoma" w:hAnsi="Tahoma"/>
      <w:sz w:val="16"/>
      <w:szCs w:val="16"/>
    </w:rPr>
  </w:style>
  <w:style w:type="character" w:customStyle="1" w:styleId="TestofumettoCarattere">
    <w:name w:val="Testo fumetto Carattere"/>
    <w:link w:val="Testofumetto"/>
    <w:uiPriority w:val="99"/>
    <w:semiHidden/>
    <w:rsid w:val="00084993"/>
    <w:rPr>
      <w:rFonts w:ascii="Tahoma" w:hAnsi="Tahoma" w:cs="Tahoma"/>
      <w:sz w:val="16"/>
      <w:szCs w:val="16"/>
    </w:rPr>
  </w:style>
  <w:style w:type="character" w:customStyle="1" w:styleId="Titolo2Carattere">
    <w:name w:val="Titolo 2 Carattere"/>
    <w:link w:val="Titolo2"/>
    <w:semiHidden/>
    <w:rsid w:val="00737445"/>
    <w:rPr>
      <w:rFonts w:ascii="Cambria" w:eastAsia="Times New Roman" w:hAnsi="Cambria"/>
      <w:b/>
      <w:bCs/>
      <w:i/>
      <w:iCs/>
      <w:sz w:val="28"/>
      <w:szCs w:val="28"/>
      <w:lang w:eastAsia="en-US"/>
    </w:rPr>
  </w:style>
  <w:style w:type="table" w:styleId="Grigliatabella">
    <w:name w:val="Table Grid"/>
    <w:basedOn w:val="Tabellanormale"/>
    <w:uiPriority w:val="59"/>
    <w:rsid w:val="007374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737445"/>
    <w:pPr>
      <w:spacing w:before="100" w:beforeAutospacing="1" w:after="100" w:afterAutospacing="1"/>
      <w:jc w:val="left"/>
    </w:pPr>
    <w:rPr>
      <w:rFonts w:ascii="Times New Roman" w:eastAsia="Times New Roman" w:hAnsi="Times New Roman"/>
      <w:sz w:val="24"/>
      <w:szCs w:val="24"/>
      <w:lang w:eastAsia="it-IT"/>
    </w:rPr>
  </w:style>
  <w:style w:type="paragraph" w:styleId="Intestazione">
    <w:name w:val="header"/>
    <w:basedOn w:val="Normale"/>
    <w:link w:val="IntestazioneCarattere"/>
    <w:uiPriority w:val="99"/>
    <w:semiHidden/>
    <w:unhideWhenUsed/>
    <w:rsid w:val="00737445"/>
    <w:pPr>
      <w:tabs>
        <w:tab w:val="center" w:pos="4819"/>
        <w:tab w:val="right" w:pos="9638"/>
      </w:tabs>
      <w:jc w:val="left"/>
    </w:pPr>
  </w:style>
  <w:style w:type="character" w:customStyle="1" w:styleId="IntestazioneCarattere">
    <w:name w:val="Intestazione Carattere"/>
    <w:link w:val="Intestazione"/>
    <w:uiPriority w:val="99"/>
    <w:semiHidden/>
    <w:rsid w:val="00737445"/>
    <w:rPr>
      <w:rFonts w:ascii="Calibri" w:eastAsia="Calibri" w:hAnsi="Calibri" w:cs="Times New Roman"/>
      <w:sz w:val="22"/>
      <w:szCs w:val="22"/>
      <w:lang w:eastAsia="en-US"/>
    </w:rPr>
  </w:style>
  <w:style w:type="paragraph" w:styleId="Pidipagina">
    <w:name w:val="footer"/>
    <w:basedOn w:val="Normale"/>
    <w:link w:val="PidipaginaCarattere"/>
    <w:uiPriority w:val="99"/>
    <w:unhideWhenUsed/>
    <w:rsid w:val="00737445"/>
    <w:pPr>
      <w:tabs>
        <w:tab w:val="center" w:pos="4819"/>
        <w:tab w:val="right" w:pos="9638"/>
      </w:tabs>
      <w:jc w:val="left"/>
    </w:pPr>
  </w:style>
  <w:style w:type="character" w:customStyle="1" w:styleId="PidipaginaCarattere">
    <w:name w:val="Piè di pagina Carattere"/>
    <w:link w:val="Pidipagina"/>
    <w:uiPriority w:val="99"/>
    <w:rsid w:val="00737445"/>
    <w:rPr>
      <w:rFonts w:ascii="Calibri" w:eastAsia="Calibri" w:hAnsi="Calibri" w:cs="Times New Roman"/>
      <w:sz w:val="22"/>
      <w:szCs w:val="22"/>
      <w:lang w:eastAsia="en-US"/>
    </w:rPr>
  </w:style>
  <w:style w:type="paragraph" w:styleId="Corpotesto">
    <w:name w:val="Body Text"/>
    <w:basedOn w:val="Normale"/>
    <w:link w:val="CorpotestoCarattere"/>
    <w:uiPriority w:val="99"/>
    <w:unhideWhenUsed/>
    <w:rsid w:val="00C11F7A"/>
    <w:pPr>
      <w:spacing w:after="120"/>
      <w:ind w:firstLine="284"/>
    </w:pPr>
  </w:style>
  <w:style w:type="character" w:customStyle="1" w:styleId="CorpotestoCarattere">
    <w:name w:val="Corpo testo Carattere"/>
    <w:link w:val="Corpotesto"/>
    <w:uiPriority w:val="99"/>
    <w:rsid w:val="00C11F7A"/>
    <w:rPr>
      <w:sz w:val="22"/>
      <w:szCs w:val="22"/>
      <w:lang w:eastAsia="en-US"/>
    </w:rPr>
  </w:style>
  <w:style w:type="paragraph" w:customStyle="1" w:styleId="Normale1">
    <w:name w:val="Normale1"/>
    <w:rsid w:val="00470C36"/>
    <w:pPr>
      <w:ind w:firstLine="284"/>
      <w:jc w:val="both"/>
    </w:pPr>
    <w:rPr>
      <w:rFonts w:cs="Calibri"/>
      <w:color w:val="000000"/>
      <w:sz w:val="22"/>
      <w:szCs w:val="22"/>
    </w:rPr>
  </w:style>
  <w:style w:type="paragraph" w:styleId="Paragrafoelenco">
    <w:name w:val="List Paragraph"/>
    <w:basedOn w:val="Normale"/>
    <w:uiPriority w:val="34"/>
    <w:qFormat/>
    <w:rsid w:val="00C701BB"/>
    <w:pPr>
      <w:ind w:left="720"/>
      <w:contextualSpacing/>
    </w:pPr>
  </w:style>
  <w:style w:type="character" w:styleId="Collegamentoipertestuale">
    <w:name w:val="Hyperlink"/>
    <w:basedOn w:val="Carpredefinitoparagrafo"/>
    <w:uiPriority w:val="99"/>
    <w:unhideWhenUsed/>
    <w:rsid w:val="000872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3338"/>
    <w:pPr>
      <w:jc w:val="both"/>
    </w:pPr>
    <w:rPr>
      <w:sz w:val="22"/>
      <w:szCs w:val="22"/>
      <w:lang w:eastAsia="en-US"/>
    </w:rPr>
  </w:style>
  <w:style w:type="paragraph" w:styleId="Titolo2">
    <w:name w:val="heading 2"/>
    <w:basedOn w:val="Normale"/>
    <w:next w:val="Normale"/>
    <w:link w:val="Titolo2Carattere"/>
    <w:semiHidden/>
    <w:unhideWhenUsed/>
    <w:qFormat/>
    <w:rsid w:val="00737445"/>
    <w:pPr>
      <w:keepNext/>
      <w:spacing w:before="240" w:after="60"/>
      <w:ind w:firstLine="284"/>
      <w:outlineLvl w:val="1"/>
    </w:pPr>
    <w:rPr>
      <w:rFonts w:ascii="Cambria" w:eastAsia="Times New Roman"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84993"/>
    <w:rPr>
      <w:rFonts w:ascii="Tahoma" w:hAnsi="Tahoma"/>
      <w:sz w:val="16"/>
      <w:szCs w:val="16"/>
    </w:rPr>
  </w:style>
  <w:style w:type="character" w:customStyle="1" w:styleId="TestofumettoCarattere">
    <w:name w:val="Testo fumetto Carattere"/>
    <w:link w:val="Testofumetto"/>
    <w:uiPriority w:val="99"/>
    <w:semiHidden/>
    <w:rsid w:val="00084993"/>
    <w:rPr>
      <w:rFonts w:ascii="Tahoma" w:hAnsi="Tahoma" w:cs="Tahoma"/>
      <w:sz w:val="16"/>
      <w:szCs w:val="16"/>
    </w:rPr>
  </w:style>
  <w:style w:type="character" w:customStyle="1" w:styleId="Titolo2Carattere">
    <w:name w:val="Titolo 2 Carattere"/>
    <w:link w:val="Titolo2"/>
    <w:semiHidden/>
    <w:rsid w:val="00737445"/>
    <w:rPr>
      <w:rFonts w:ascii="Cambria" w:eastAsia="Times New Roman" w:hAnsi="Cambria"/>
      <w:b/>
      <w:bCs/>
      <w:i/>
      <w:iCs/>
      <w:sz w:val="28"/>
      <w:szCs w:val="28"/>
      <w:lang w:eastAsia="en-US"/>
    </w:rPr>
  </w:style>
  <w:style w:type="table" w:styleId="Grigliatabella">
    <w:name w:val="Table Grid"/>
    <w:basedOn w:val="Tabellanormale"/>
    <w:uiPriority w:val="59"/>
    <w:rsid w:val="007374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737445"/>
    <w:pPr>
      <w:spacing w:before="100" w:beforeAutospacing="1" w:after="100" w:afterAutospacing="1"/>
      <w:jc w:val="left"/>
    </w:pPr>
    <w:rPr>
      <w:rFonts w:ascii="Times New Roman" w:eastAsia="Times New Roman" w:hAnsi="Times New Roman"/>
      <w:sz w:val="24"/>
      <w:szCs w:val="24"/>
      <w:lang w:eastAsia="it-IT"/>
    </w:rPr>
  </w:style>
  <w:style w:type="paragraph" w:styleId="Intestazione">
    <w:name w:val="header"/>
    <w:basedOn w:val="Normale"/>
    <w:link w:val="IntestazioneCarattere"/>
    <w:uiPriority w:val="99"/>
    <w:semiHidden/>
    <w:unhideWhenUsed/>
    <w:rsid w:val="00737445"/>
    <w:pPr>
      <w:tabs>
        <w:tab w:val="center" w:pos="4819"/>
        <w:tab w:val="right" w:pos="9638"/>
      </w:tabs>
      <w:jc w:val="left"/>
    </w:pPr>
  </w:style>
  <w:style w:type="character" w:customStyle="1" w:styleId="IntestazioneCarattere">
    <w:name w:val="Intestazione Carattere"/>
    <w:link w:val="Intestazione"/>
    <w:uiPriority w:val="99"/>
    <w:semiHidden/>
    <w:rsid w:val="00737445"/>
    <w:rPr>
      <w:rFonts w:ascii="Calibri" w:eastAsia="Calibri" w:hAnsi="Calibri" w:cs="Times New Roman"/>
      <w:sz w:val="22"/>
      <w:szCs w:val="22"/>
      <w:lang w:eastAsia="en-US"/>
    </w:rPr>
  </w:style>
  <w:style w:type="paragraph" w:styleId="Pidipagina">
    <w:name w:val="footer"/>
    <w:basedOn w:val="Normale"/>
    <w:link w:val="PidipaginaCarattere"/>
    <w:uiPriority w:val="99"/>
    <w:unhideWhenUsed/>
    <w:rsid w:val="00737445"/>
    <w:pPr>
      <w:tabs>
        <w:tab w:val="center" w:pos="4819"/>
        <w:tab w:val="right" w:pos="9638"/>
      </w:tabs>
      <w:jc w:val="left"/>
    </w:pPr>
  </w:style>
  <w:style w:type="character" w:customStyle="1" w:styleId="PidipaginaCarattere">
    <w:name w:val="Piè di pagina Carattere"/>
    <w:link w:val="Pidipagina"/>
    <w:uiPriority w:val="99"/>
    <w:rsid w:val="00737445"/>
    <w:rPr>
      <w:rFonts w:ascii="Calibri" w:eastAsia="Calibri" w:hAnsi="Calibri" w:cs="Times New Roman"/>
      <w:sz w:val="22"/>
      <w:szCs w:val="22"/>
      <w:lang w:eastAsia="en-US"/>
    </w:rPr>
  </w:style>
  <w:style w:type="paragraph" w:styleId="Corpotesto">
    <w:name w:val="Body Text"/>
    <w:basedOn w:val="Normale"/>
    <w:link w:val="CorpotestoCarattere"/>
    <w:uiPriority w:val="99"/>
    <w:unhideWhenUsed/>
    <w:rsid w:val="00C11F7A"/>
    <w:pPr>
      <w:spacing w:after="120"/>
      <w:ind w:firstLine="284"/>
    </w:pPr>
  </w:style>
  <w:style w:type="character" w:customStyle="1" w:styleId="CorpotestoCarattere">
    <w:name w:val="Corpo testo Carattere"/>
    <w:link w:val="Corpotesto"/>
    <w:uiPriority w:val="99"/>
    <w:rsid w:val="00C11F7A"/>
    <w:rPr>
      <w:sz w:val="22"/>
      <w:szCs w:val="22"/>
      <w:lang w:eastAsia="en-US"/>
    </w:rPr>
  </w:style>
  <w:style w:type="paragraph" w:customStyle="1" w:styleId="Normale1">
    <w:name w:val="Normale1"/>
    <w:rsid w:val="00470C36"/>
    <w:pPr>
      <w:ind w:firstLine="284"/>
      <w:jc w:val="both"/>
    </w:pPr>
    <w:rPr>
      <w:rFonts w:cs="Calibri"/>
      <w:color w:val="000000"/>
      <w:sz w:val="22"/>
      <w:szCs w:val="22"/>
    </w:rPr>
  </w:style>
  <w:style w:type="paragraph" w:styleId="Paragrafoelenco">
    <w:name w:val="List Paragraph"/>
    <w:basedOn w:val="Normale"/>
    <w:uiPriority w:val="34"/>
    <w:qFormat/>
    <w:rsid w:val="00C701BB"/>
    <w:pPr>
      <w:ind w:left="720"/>
      <w:contextualSpacing/>
    </w:pPr>
  </w:style>
  <w:style w:type="character" w:styleId="Collegamentoipertestuale">
    <w:name w:val="Hyperlink"/>
    <w:basedOn w:val="Carpredefinitoparagrafo"/>
    <w:uiPriority w:val="99"/>
    <w:unhideWhenUsed/>
    <w:rsid w:val="000872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6089">
      <w:bodyDiv w:val="1"/>
      <w:marLeft w:val="0"/>
      <w:marRight w:val="0"/>
      <w:marTop w:val="0"/>
      <w:marBottom w:val="0"/>
      <w:divBdr>
        <w:top w:val="none" w:sz="0" w:space="0" w:color="auto"/>
        <w:left w:val="none" w:sz="0" w:space="0" w:color="auto"/>
        <w:bottom w:val="none" w:sz="0" w:space="0" w:color="auto"/>
        <w:right w:val="none" w:sz="0" w:space="0" w:color="auto"/>
      </w:divBdr>
    </w:div>
    <w:div w:id="534654852">
      <w:bodyDiv w:val="1"/>
      <w:marLeft w:val="0"/>
      <w:marRight w:val="0"/>
      <w:marTop w:val="0"/>
      <w:marBottom w:val="0"/>
      <w:divBdr>
        <w:top w:val="none" w:sz="0" w:space="0" w:color="auto"/>
        <w:left w:val="none" w:sz="0" w:space="0" w:color="auto"/>
        <w:bottom w:val="none" w:sz="0" w:space="0" w:color="auto"/>
        <w:right w:val="none" w:sz="0" w:space="0" w:color="auto"/>
      </w:divBdr>
    </w:div>
    <w:div w:id="537594528">
      <w:bodyDiv w:val="1"/>
      <w:marLeft w:val="0"/>
      <w:marRight w:val="0"/>
      <w:marTop w:val="0"/>
      <w:marBottom w:val="0"/>
      <w:divBdr>
        <w:top w:val="none" w:sz="0" w:space="0" w:color="auto"/>
        <w:left w:val="none" w:sz="0" w:space="0" w:color="auto"/>
        <w:bottom w:val="none" w:sz="0" w:space="0" w:color="auto"/>
        <w:right w:val="none" w:sz="0" w:space="0" w:color="auto"/>
      </w:divBdr>
    </w:div>
    <w:div w:id="541745290">
      <w:bodyDiv w:val="1"/>
      <w:marLeft w:val="0"/>
      <w:marRight w:val="0"/>
      <w:marTop w:val="0"/>
      <w:marBottom w:val="0"/>
      <w:divBdr>
        <w:top w:val="none" w:sz="0" w:space="0" w:color="auto"/>
        <w:left w:val="none" w:sz="0" w:space="0" w:color="auto"/>
        <w:bottom w:val="none" w:sz="0" w:space="0" w:color="auto"/>
        <w:right w:val="none" w:sz="0" w:space="0" w:color="auto"/>
      </w:divBdr>
    </w:div>
    <w:div w:id="593517179">
      <w:bodyDiv w:val="1"/>
      <w:marLeft w:val="0"/>
      <w:marRight w:val="0"/>
      <w:marTop w:val="0"/>
      <w:marBottom w:val="0"/>
      <w:divBdr>
        <w:top w:val="none" w:sz="0" w:space="0" w:color="auto"/>
        <w:left w:val="none" w:sz="0" w:space="0" w:color="auto"/>
        <w:bottom w:val="none" w:sz="0" w:space="0" w:color="auto"/>
        <w:right w:val="none" w:sz="0" w:space="0" w:color="auto"/>
      </w:divBdr>
    </w:div>
    <w:div w:id="594630375">
      <w:bodyDiv w:val="1"/>
      <w:marLeft w:val="0"/>
      <w:marRight w:val="0"/>
      <w:marTop w:val="0"/>
      <w:marBottom w:val="0"/>
      <w:divBdr>
        <w:top w:val="none" w:sz="0" w:space="0" w:color="auto"/>
        <w:left w:val="none" w:sz="0" w:space="0" w:color="auto"/>
        <w:bottom w:val="none" w:sz="0" w:space="0" w:color="auto"/>
        <w:right w:val="none" w:sz="0" w:space="0" w:color="auto"/>
      </w:divBdr>
    </w:div>
    <w:div w:id="750083764">
      <w:bodyDiv w:val="1"/>
      <w:marLeft w:val="0"/>
      <w:marRight w:val="0"/>
      <w:marTop w:val="0"/>
      <w:marBottom w:val="0"/>
      <w:divBdr>
        <w:top w:val="none" w:sz="0" w:space="0" w:color="auto"/>
        <w:left w:val="none" w:sz="0" w:space="0" w:color="auto"/>
        <w:bottom w:val="none" w:sz="0" w:space="0" w:color="auto"/>
        <w:right w:val="none" w:sz="0" w:space="0" w:color="auto"/>
      </w:divBdr>
    </w:div>
    <w:div w:id="1052582573">
      <w:bodyDiv w:val="1"/>
      <w:marLeft w:val="0"/>
      <w:marRight w:val="0"/>
      <w:marTop w:val="0"/>
      <w:marBottom w:val="0"/>
      <w:divBdr>
        <w:top w:val="none" w:sz="0" w:space="0" w:color="auto"/>
        <w:left w:val="none" w:sz="0" w:space="0" w:color="auto"/>
        <w:bottom w:val="none" w:sz="0" w:space="0" w:color="auto"/>
        <w:right w:val="none" w:sz="0" w:space="0" w:color="auto"/>
      </w:divBdr>
    </w:div>
    <w:div w:id="1081292550">
      <w:bodyDiv w:val="1"/>
      <w:marLeft w:val="0"/>
      <w:marRight w:val="0"/>
      <w:marTop w:val="0"/>
      <w:marBottom w:val="0"/>
      <w:divBdr>
        <w:top w:val="none" w:sz="0" w:space="0" w:color="auto"/>
        <w:left w:val="none" w:sz="0" w:space="0" w:color="auto"/>
        <w:bottom w:val="none" w:sz="0" w:space="0" w:color="auto"/>
        <w:right w:val="none" w:sz="0" w:space="0" w:color="auto"/>
      </w:divBdr>
    </w:div>
    <w:div w:id="1130320767">
      <w:bodyDiv w:val="1"/>
      <w:marLeft w:val="0"/>
      <w:marRight w:val="0"/>
      <w:marTop w:val="0"/>
      <w:marBottom w:val="0"/>
      <w:divBdr>
        <w:top w:val="none" w:sz="0" w:space="0" w:color="auto"/>
        <w:left w:val="none" w:sz="0" w:space="0" w:color="auto"/>
        <w:bottom w:val="none" w:sz="0" w:space="0" w:color="auto"/>
        <w:right w:val="none" w:sz="0" w:space="0" w:color="auto"/>
      </w:divBdr>
    </w:div>
    <w:div w:id="1392658071">
      <w:bodyDiv w:val="1"/>
      <w:marLeft w:val="0"/>
      <w:marRight w:val="0"/>
      <w:marTop w:val="0"/>
      <w:marBottom w:val="0"/>
      <w:divBdr>
        <w:top w:val="none" w:sz="0" w:space="0" w:color="auto"/>
        <w:left w:val="none" w:sz="0" w:space="0" w:color="auto"/>
        <w:bottom w:val="none" w:sz="0" w:space="0" w:color="auto"/>
        <w:right w:val="none" w:sz="0" w:space="0" w:color="auto"/>
      </w:divBdr>
    </w:div>
    <w:div w:id="1556620800">
      <w:bodyDiv w:val="1"/>
      <w:marLeft w:val="0"/>
      <w:marRight w:val="0"/>
      <w:marTop w:val="0"/>
      <w:marBottom w:val="0"/>
      <w:divBdr>
        <w:top w:val="none" w:sz="0" w:space="0" w:color="auto"/>
        <w:left w:val="none" w:sz="0" w:space="0" w:color="auto"/>
        <w:bottom w:val="none" w:sz="0" w:space="0" w:color="auto"/>
        <w:right w:val="none" w:sz="0" w:space="0" w:color="auto"/>
      </w:divBdr>
    </w:div>
    <w:div w:id="1559897075">
      <w:bodyDiv w:val="1"/>
      <w:marLeft w:val="0"/>
      <w:marRight w:val="0"/>
      <w:marTop w:val="0"/>
      <w:marBottom w:val="0"/>
      <w:divBdr>
        <w:top w:val="none" w:sz="0" w:space="0" w:color="auto"/>
        <w:left w:val="none" w:sz="0" w:space="0" w:color="auto"/>
        <w:bottom w:val="none" w:sz="0" w:space="0" w:color="auto"/>
        <w:right w:val="none" w:sz="0" w:space="0" w:color="auto"/>
      </w:divBdr>
    </w:div>
    <w:div w:id="1575969995">
      <w:bodyDiv w:val="1"/>
      <w:marLeft w:val="0"/>
      <w:marRight w:val="0"/>
      <w:marTop w:val="0"/>
      <w:marBottom w:val="0"/>
      <w:divBdr>
        <w:top w:val="none" w:sz="0" w:space="0" w:color="auto"/>
        <w:left w:val="none" w:sz="0" w:space="0" w:color="auto"/>
        <w:bottom w:val="none" w:sz="0" w:space="0" w:color="auto"/>
        <w:right w:val="none" w:sz="0" w:space="0" w:color="auto"/>
      </w:divBdr>
    </w:div>
    <w:div w:id="1611165348">
      <w:bodyDiv w:val="1"/>
      <w:marLeft w:val="0"/>
      <w:marRight w:val="0"/>
      <w:marTop w:val="0"/>
      <w:marBottom w:val="0"/>
      <w:divBdr>
        <w:top w:val="none" w:sz="0" w:space="0" w:color="auto"/>
        <w:left w:val="none" w:sz="0" w:space="0" w:color="auto"/>
        <w:bottom w:val="none" w:sz="0" w:space="0" w:color="auto"/>
        <w:right w:val="none" w:sz="0" w:space="0" w:color="auto"/>
      </w:divBdr>
    </w:div>
    <w:div w:id="18588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EDBC7-DA56-445F-8235-496DEAE0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3399</Words>
  <Characters>19377</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Confindustria</Company>
  <LinksUpToDate>false</LinksUpToDate>
  <CharactersWithSpaces>22731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sabatini</dc:creator>
  <cp:lastModifiedBy>Capasso Salvio</cp:lastModifiedBy>
  <cp:revision>5</cp:revision>
  <cp:lastPrinted>2017-12-21T15:04:00Z</cp:lastPrinted>
  <dcterms:created xsi:type="dcterms:W3CDTF">2017-12-27T08:22:00Z</dcterms:created>
  <dcterms:modified xsi:type="dcterms:W3CDTF">2017-12-27T08:42:00Z</dcterms:modified>
</cp:coreProperties>
</file>