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E" w:rsidRDefault="00C90ECE" w:rsidP="00C90E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Resoconto della r</w:t>
      </w:r>
      <w:r w:rsidRPr="00C90ECE">
        <w:rPr>
          <w:rFonts w:ascii="Arial" w:hAnsi="Arial" w:cs="Arial"/>
          <w:b/>
          <w:sz w:val="24"/>
          <w:szCs w:val="24"/>
        </w:rPr>
        <w:t xml:space="preserve">iunione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9C4EFE">
        <w:rPr>
          <w:rFonts w:ascii="Arial" w:hAnsi="Arial" w:cs="Arial"/>
          <w:b/>
          <w:sz w:val="24"/>
          <w:szCs w:val="24"/>
        </w:rPr>
        <w:t>g</w:t>
      </w:r>
      <w:r w:rsidRPr="00C90ECE">
        <w:rPr>
          <w:rFonts w:ascii="Arial" w:hAnsi="Arial" w:cs="Arial"/>
          <w:b/>
          <w:sz w:val="24"/>
          <w:szCs w:val="24"/>
        </w:rPr>
        <w:t xml:space="preserve">ruppo di lavoro sulla sostenibilità </w:t>
      </w:r>
    </w:p>
    <w:p w:rsidR="00B439C5" w:rsidRPr="009C4EFE" w:rsidRDefault="00C90ECE" w:rsidP="00C90ECE">
      <w:pPr>
        <w:jc w:val="center"/>
        <w:rPr>
          <w:rFonts w:ascii="Arial" w:hAnsi="Arial" w:cs="Arial"/>
          <w:sz w:val="24"/>
          <w:szCs w:val="24"/>
        </w:rPr>
      </w:pPr>
      <w:r w:rsidRPr="009C4EFE">
        <w:rPr>
          <w:rFonts w:ascii="Arial" w:hAnsi="Arial" w:cs="Arial"/>
          <w:sz w:val="24"/>
          <w:szCs w:val="24"/>
        </w:rPr>
        <w:t>Roma</w:t>
      </w:r>
      <w:r w:rsidR="00725D1D">
        <w:rPr>
          <w:rFonts w:ascii="Arial" w:hAnsi="Arial" w:cs="Arial"/>
          <w:sz w:val="24"/>
          <w:szCs w:val="24"/>
        </w:rPr>
        <w:t>,</w:t>
      </w:r>
      <w:r w:rsidRPr="009C4EFE">
        <w:rPr>
          <w:rFonts w:ascii="Arial" w:hAnsi="Arial" w:cs="Arial"/>
          <w:sz w:val="24"/>
          <w:szCs w:val="24"/>
        </w:rPr>
        <w:t xml:space="preserve"> 26 luglio 2016</w:t>
      </w:r>
    </w:p>
    <w:p w:rsidR="00C90ECE" w:rsidRDefault="00C90ECE" w:rsidP="00C90ECE">
      <w:pPr>
        <w:jc w:val="center"/>
        <w:rPr>
          <w:rFonts w:ascii="Arial" w:hAnsi="Arial" w:cs="Arial"/>
          <w:b/>
          <w:sz w:val="24"/>
          <w:szCs w:val="24"/>
        </w:rPr>
      </w:pPr>
    </w:p>
    <w:p w:rsidR="00C90ECE" w:rsidRPr="00C90ECE" w:rsidRDefault="00C90ECE" w:rsidP="00C90ECE">
      <w:pPr>
        <w:pStyle w:val="Paragrafoelenco"/>
        <w:ind w:left="0"/>
        <w:rPr>
          <w:b/>
          <w:sz w:val="28"/>
          <w:szCs w:val="28"/>
        </w:rPr>
      </w:pPr>
    </w:p>
    <w:p w:rsidR="00C90ECE" w:rsidRPr="00C90ECE" w:rsidRDefault="00C90ECE" w:rsidP="00C90ECE">
      <w:pPr>
        <w:pStyle w:val="Paragrafoelenc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C90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90ECE">
        <w:rPr>
          <w:b/>
          <w:sz w:val="28"/>
          <w:szCs w:val="28"/>
        </w:rPr>
        <w:t xml:space="preserve">Consultazione </w:t>
      </w:r>
      <w:r>
        <w:rPr>
          <w:b/>
          <w:sz w:val="28"/>
          <w:szCs w:val="28"/>
        </w:rPr>
        <w:t xml:space="preserve">avviata dal </w:t>
      </w:r>
      <w:r w:rsidRPr="00C90ECE">
        <w:rPr>
          <w:b/>
          <w:sz w:val="28"/>
          <w:szCs w:val="28"/>
        </w:rPr>
        <w:t xml:space="preserve">Ministero dell’Economia </w:t>
      </w:r>
      <w:r w:rsidR="009B1BAD">
        <w:rPr>
          <w:b/>
          <w:sz w:val="28"/>
          <w:szCs w:val="28"/>
        </w:rPr>
        <w:t xml:space="preserve">e delle Finanze </w:t>
      </w:r>
      <w:r w:rsidRPr="00C90ECE">
        <w:rPr>
          <w:b/>
          <w:sz w:val="28"/>
          <w:szCs w:val="28"/>
        </w:rPr>
        <w:t xml:space="preserve">sul recepimento della Direttiva UE sulla comunicazione delle informazioni non finanziarie </w:t>
      </w:r>
      <w:r w:rsidR="009B1BAD">
        <w:rPr>
          <w:b/>
          <w:sz w:val="28"/>
          <w:szCs w:val="28"/>
        </w:rPr>
        <w:t>(95/2014/UE)</w:t>
      </w:r>
    </w:p>
    <w:p w:rsidR="00C90ECE" w:rsidRDefault="00FE20D5" w:rsidP="00C90EC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Nel maggio scorso il MEF ha avviato la consultazione online dei vari interlocutori sul recepimento della direttiva comunitaria in tema di comunicazione delle informazioni non finanziarie da parte di alcun</w:t>
      </w:r>
      <w:r w:rsidR="00E35D48">
        <w:rPr>
          <w:sz w:val="28"/>
          <w:szCs w:val="28"/>
        </w:rPr>
        <w:t>i tipi di impresa.</w:t>
      </w:r>
    </w:p>
    <w:p w:rsidR="00FE20D5" w:rsidRDefault="00FE20D5" w:rsidP="00C90EC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Confindustria ha trasmesso il proprio contributo (cfr. allegato alla News) rispondendo alla consultazione online, previa attività di coordinamento interno alle diverse Aree coinvolte (Lavoro e Welfare, Affari Legislativi, Ambiente</w:t>
      </w:r>
      <w:r w:rsidR="00096759">
        <w:rPr>
          <w:sz w:val="28"/>
          <w:szCs w:val="28"/>
        </w:rPr>
        <w:t>, Gruppo Cultura</w:t>
      </w:r>
      <w:r>
        <w:rPr>
          <w:sz w:val="28"/>
          <w:szCs w:val="28"/>
        </w:rPr>
        <w:t>).</w:t>
      </w:r>
    </w:p>
    <w:p w:rsidR="00C90ECE" w:rsidRDefault="00FE20D5" w:rsidP="00C90EC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Tra i principali messaggi trasmessi da Confindustria al MEF:</w:t>
      </w:r>
    </w:p>
    <w:p w:rsidR="00FE20D5" w:rsidRDefault="00FE20D5" w:rsidP="00FE20D5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 all’eventuale estensione del campo di applicazione soggettivo della direttiva ad altri tipi di impresa (es. PMI)</w:t>
      </w:r>
    </w:p>
    <w:p w:rsidR="00FE20D5" w:rsidRDefault="00FE20D5" w:rsidP="00FE20D5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 alla predeterminazione di specifici indicatori di prestazione da applicare nel processo di rendicontazione</w:t>
      </w:r>
    </w:p>
    <w:p w:rsidR="00FE20D5" w:rsidRDefault="00FE20D5" w:rsidP="00FE20D5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Preservare i margini di flessibilità riconosciuti dalla Direttiva (es. agevole applicazione della clausola di salvaguardia; flessibilità nella scelta degli standard internazionali cui fare riferimento)</w:t>
      </w:r>
    </w:p>
    <w:p w:rsidR="00FE20D5" w:rsidRDefault="0056681D" w:rsidP="00FE20D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Il MEF avvierà nelle prossime settimane una nuova consultazione online sullo schema del decreto legislativo di recepimento della Direttiva.</w:t>
      </w:r>
    </w:p>
    <w:p w:rsidR="0056681D" w:rsidRDefault="0056681D" w:rsidP="00FE20D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scadenza per il recepimento della Direttiva nel diritto interno è fissata al 6 dicembre 2016. </w:t>
      </w:r>
    </w:p>
    <w:p w:rsidR="00C90ECE" w:rsidRDefault="00C90ECE" w:rsidP="00C90ECE">
      <w:pPr>
        <w:pStyle w:val="Paragrafoelenco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12454">
        <w:rPr>
          <w:b/>
          <w:sz w:val="28"/>
          <w:szCs w:val="28"/>
        </w:rPr>
        <w:t>Responsabilità Sociale d’Impresa e Diritti Umani</w:t>
      </w:r>
    </w:p>
    <w:p w:rsidR="00912454" w:rsidRDefault="00912454" w:rsidP="00912454">
      <w:pPr>
        <w:jc w:val="both"/>
        <w:rPr>
          <w:sz w:val="28"/>
          <w:szCs w:val="28"/>
        </w:rPr>
      </w:pPr>
      <w:r>
        <w:rPr>
          <w:sz w:val="28"/>
          <w:szCs w:val="28"/>
        </w:rPr>
        <w:t>Sono stati illustrati i recenti sviluppi avuti sul tema del rapporto tra attività di impresa e rispetto dei diritti umani da parte delle imprese.</w:t>
      </w:r>
    </w:p>
    <w:p w:rsidR="00912454" w:rsidRDefault="003A14D5" w:rsidP="00912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Partendo dai P</w:t>
      </w:r>
      <w:r w:rsidR="00912454">
        <w:rPr>
          <w:sz w:val="28"/>
          <w:szCs w:val="28"/>
        </w:rPr>
        <w:t>rincipi – Guida ONU del 2011</w:t>
      </w:r>
      <w:r>
        <w:rPr>
          <w:sz w:val="28"/>
          <w:szCs w:val="28"/>
        </w:rPr>
        <w:t xml:space="preserve"> su imprese e Diritti Umani</w:t>
      </w:r>
      <w:r w:rsidR="00912454">
        <w:rPr>
          <w:sz w:val="28"/>
          <w:szCs w:val="28"/>
        </w:rPr>
        <w:t>, si è ricordata la Strategia europea sulla RSI</w:t>
      </w:r>
      <w:r>
        <w:rPr>
          <w:sz w:val="28"/>
          <w:szCs w:val="28"/>
        </w:rPr>
        <w:t xml:space="preserve">, che ha </w:t>
      </w:r>
      <w:r w:rsidR="006B0B6D">
        <w:rPr>
          <w:sz w:val="28"/>
          <w:szCs w:val="28"/>
        </w:rPr>
        <w:t>ri</w:t>
      </w:r>
      <w:r>
        <w:rPr>
          <w:sz w:val="28"/>
          <w:szCs w:val="28"/>
        </w:rPr>
        <w:t>chiesto ai Governi dei Paesi membri di pubblicare e aggiornare un Piano di Azione Nazionale su impresa e diritti umani.</w:t>
      </w:r>
    </w:p>
    <w:p w:rsidR="003A14D5" w:rsidRDefault="003A14D5" w:rsidP="00912454">
      <w:pPr>
        <w:jc w:val="both"/>
        <w:rPr>
          <w:sz w:val="28"/>
          <w:szCs w:val="28"/>
        </w:rPr>
      </w:pPr>
      <w:r>
        <w:rPr>
          <w:sz w:val="28"/>
          <w:szCs w:val="28"/>
        </w:rPr>
        <w:t>Il Governo italiano (capofila il Ministero degli Affari Esteri e della Cooperazione Internazionale – MAECI) ha quindi avviato il lavoro di redazione del Piano all’inizio del</w:t>
      </w:r>
      <w:r w:rsidR="006B0B6D">
        <w:rPr>
          <w:sz w:val="28"/>
          <w:szCs w:val="28"/>
        </w:rPr>
        <w:t xml:space="preserve"> 2016, </w:t>
      </w:r>
      <w:r>
        <w:rPr>
          <w:sz w:val="28"/>
          <w:szCs w:val="28"/>
        </w:rPr>
        <w:t>e – attraverso il CIDU – Comitato Interministeriale per i Diritti Umani – ha coinvolto gli interlocutori istituzionali, sociali ed economici, per avviare un confronto sul Piano e ricevere contributi tecnici.</w:t>
      </w:r>
    </w:p>
    <w:p w:rsidR="003A14D5" w:rsidRDefault="003A14D5" w:rsidP="00912454">
      <w:pPr>
        <w:jc w:val="both"/>
        <w:rPr>
          <w:sz w:val="28"/>
          <w:szCs w:val="28"/>
        </w:rPr>
      </w:pPr>
      <w:r>
        <w:rPr>
          <w:sz w:val="28"/>
          <w:szCs w:val="28"/>
        </w:rPr>
        <w:t>Anche in questo caso, Confindustria, previo coordinamento tra le diverse Aree coinvolte, ha elaborato e trasmesso, da un lato, il proprio contributo sul Capitolo II del Piano, dedicato alle Imprese, e dall’altro, ha formulato osservazioni/modifiche al testo del Piano, come richiesto dal MAECI agli interlocutori.</w:t>
      </w:r>
    </w:p>
    <w:p w:rsidR="008279B3" w:rsidRPr="00912454" w:rsidRDefault="008279B3" w:rsidP="0091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MAECI </w:t>
      </w:r>
      <w:r w:rsidR="006B0B6D">
        <w:rPr>
          <w:sz w:val="28"/>
          <w:szCs w:val="28"/>
        </w:rPr>
        <w:t>ha riaperto la consultazione sulla bozza finale del Piano il 28 luglio</w:t>
      </w:r>
      <w:r w:rsidR="00D7148E">
        <w:rPr>
          <w:sz w:val="28"/>
          <w:szCs w:val="28"/>
        </w:rPr>
        <w:t xml:space="preserve"> 2016</w:t>
      </w:r>
      <w:r w:rsidR="006B0B6D">
        <w:rPr>
          <w:sz w:val="28"/>
          <w:szCs w:val="28"/>
        </w:rPr>
        <w:t>, fissando la scadenza per eventuali osservazion</w:t>
      </w:r>
      <w:r w:rsidR="00D7148E">
        <w:rPr>
          <w:sz w:val="28"/>
          <w:szCs w:val="28"/>
        </w:rPr>
        <w:t>i</w:t>
      </w:r>
      <w:r w:rsidR="006B0B6D">
        <w:rPr>
          <w:sz w:val="28"/>
          <w:szCs w:val="28"/>
        </w:rPr>
        <w:t xml:space="preserve"> e/o commenti al 10 agosto 2016.</w:t>
      </w:r>
    </w:p>
    <w:p w:rsidR="00C90ECE" w:rsidRPr="00A91B8F" w:rsidRDefault="00C90ECE" w:rsidP="00C90ECE">
      <w:pPr>
        <w:pStyle w:val="Paragrafoelenco"/>
        <w:ind w:left="0"/>
        <w:jc w:val="both"/>
        <w:rPr>
          <w:sz w:val="28"/>
          <w:szCs w:val="28"/>
        </w:rPr>
      </w:pPr>
    </w:p>
    <w:p w:rsidR="00C90ECE" w:rsidRDefault="00C90ECE" w:rsidP="002031C7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2031C7">
        <w:rPr>
          <w:b/>
          <w:sz w:val="28"/>
          <w:szCs w:val="28"/>
        </w:rPr>
        <w:t xml:space="preserve">Gestione sostenibile della catena di fornitura </w:t>
      </w:r>
    </w:p>
    <w:p w:rsidR="00E378A0" w:rsidRDefault="00E378A0" w:rsidP="00E378A0">
      <w:pPr>
        <w:pStyle w:val="Paragrafoelenco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E378A0" w:rsidRPr="002031C7" w:rsidRDefault="00E378A0" w:rsidP="00E378A0">
      <w:pPr>
        <w:pStyle w:val="Paragrafoelenco"/>
        <w:numPr>
          <w:ilvl w:val="0"/>
          <w:numId w:val="6"/>
        </w:numPr>
        <w:tabs>
          <w:tab w:val="left" w:pos="284"/>
        </w:tabs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Progetto europeo sulle Relazioni Industriali Globali</w:t>
      </w:r>
    </w:p>
    <w:p w:rsidR="00C90ECE" w:rsidRDefault="00C90ECE" w:rsidP="00C90ECE">
      <w:pPr>
        <w:pStyle w:val="Paragrafoelenco"/>
        <w:ind w:left="0"/>
        <w:jc w:val="both"/>
        <w:rPr>
          <w:sz w:val="28"/>
          <w:szCs w:val="28"/>
        </w:rPr>
      </w:pPr>
    </w:p>
    <w:p w:rsidR="00E8379B" w:rsidRDefault="008C61E0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E’ stato ricordato come il tema della gestione sostenibi</w:t>
      </w:r>
      <w:r w:rsidR="00E8379B">
        <w:rPr>
          <w:sz w:val="28"/>
          <w:szCs w:val="28"/>
        </w:rPr>
        <w:t>le della catena di fornitura sia al centro del dibattito internazionale (e nazionale) sulla sostenibilità, e di come si sia</w:t>
      </w:r>
      <w:r w:rsidR="00142E26">
        <w:rPr>
          <w:sz w:val="28"/>
          <w:szCs w:val="28"/>
        </w:rPr>
        <w:t>no</w:t>
      </w:r>
      <w:r w:rsidR="00E8379B">
        <w:rPr>
          <w:sz w:val="28"/>
          <w:szCs w:val="28"/>
        </w:rPr>
        <w:t xml:space="preserve"> intensificat</w:t>
      </w:r>
      <w:r w:rsidR="00142E26">
        <w:rPr>
          <w:sz w:val="28"/>
          <w:szCs w:val="28"/>
        </w:rPr>
        <w:t>e</w:t>
      </w:r>
      <w:r w:rsidR="00E8379B">
        <w:rPr>
          <w:sz w:val="28"/>
          <w:szCs w:val="28"/>
        </w:rPr>
        <w:t xml:space="preserve"> negli ultimi anni l’attenzione e le iniziative delle organizzazioni internazionali (ILO, OCSE, UE, e a livello nazionale, MAECI, MISE..)</w:t>
      </w:r>
      <w:r w:rsidR="00576CC5">
        <w:rPr>
          <w:sz w:val="28"/>
          <w:szCs w:val="28"/>
        </w:rPr>
        <w:t xml:space="preserve"> su questo tema.</w:t>
      </w:r>
    </w:p>
    <w:p w:rsidR="00576CC5" w:rsidRDefault="00576CC5" w:rsidP="008C61E0">
      <w:pPr>
        <w:pStyle w:val="Paragrafoelenco"/>
        <w:ind w:left="0"/>
        <w:jc w:val="both"/>
        <w:rPr>
          <w:sz w:val="28"/>
          <w:szCs w:val="28"/>
        </w:rPr>
      </w:pPr>
    </w:p>
    <w:p w:rsidR="00576CC5" w:rsidRDefault="00576CC5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Anche a livello europeo si sta discutendo di un “trattato vincolante sui diritti umani”, essendo molte le spinte in questa direzione (es. sindacati, ONG, alcuni Governi di paesi industrializzati).</w:t>
      </w:r>
    </w:p>
    <w:p w:rsidR="00E8379B" w:rsidRDefault="00E8379B" w:rsidP="008C61E0">
      <w:pPr>
        <w:pStyle w:val="Paragrafoelenco"/>
        <w:ind w:left="0"/>
        <w:jc w:val="both"/>
        <w:rPr>
          <w:sz w:val="28"/>
          <w:szCs w:val="28"/>
        </w:rPr>
      </w:pPr>
    </w:p>
    <w:p w:rsidR="00E8379B" w:rsidRDefault="00E8379B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Parallelamente, su questo tema, sono cresciute le pressioni da parte delle Istituzioni  (con particolare riferimento al MISE – PCN) sulle organizzazioni imprenditoriali, che si stanno attrezzando per fornire un’efficace attività di guida e supporto alle imprese – soprattutto PMI – per gestire con successo le sfide connesse alla sostenibilità, con particolare riguardo alle dinamiche delle catene di fornitura.</w:t>
      </w:r>
    </w:p>
    <w:p w:rsidR="00E8379B" w:rsidRDefault="00E8379B" w:rsidP="008C61E0">
      <w:pPr>
        <w:pStyle w:val="Paragrafoelenco"/>
        <w:ind w:left="0"/>
        <w:jc w:val="both"/>
        <w:rPr>
          <w:sz w:val="28"/>
          <w:szCs w:val="28"/>
        </w:rPr>
      </w:pPr>
    </w:p>
    <w:p w:rsidR="0022079D" w:rsidRDefault="00E8379B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Alla luce di questo scenario, Confindustria</w:t>
      </w:r>
      <w:r w:rsidR="00576CC5">
        <w:rPr>
          <w:sz w:val="28"/>
          <w:szCs w:val="28"/>
        </w:rPr>
        <w:t xml:space="preserve"> ha aderito, come soggetto promotore insieme alla BDA, al </w:t>
      </w:r>
      <w:proofErr w:type="spellStart"/>
      <w:r w:rsidR="00576CC5">
        <w:rPr>
          <w:sz w:val="28"/>
          <w:szCs w:val="28"/>
        </w:rPr>
        <w:t>Medef</w:t>
      </w:r>
      <w:proofErr w:type="spellEnd"/>
      <w:r w:rsidR="00576CC5">
        <w:rPr>
          <w:sz w:val="28"/>
          <w:szCs w:val="28"/>
        </w:rPr>
        <w:t xml:space="preserve">, a </w:t>
      </w:r>
      <w:proofErr w:type="spellStart"/>
      <w:r w:rsidR="00576CC5">
        <w:rPr>
          <w:sz w:val="28"/>
          <w:szCs w:val="28"/>
        </w:rPr>
        <w:t>Businesseurope</w:t>
      </w:r>
      <w:proofErr w:type="spellEnd"/>
      <w:r w:rsidR="00576CC5">
        <w:rPr>
          <w:sz w:val="28"/>
          <w:szCs w:val="28"/>
        </w:rPr>
        <w:t>, al Centro di Formazione dell’ILO di Torino, ad un P</w:t>
      </w:r>
      <w:r w:rsidR="00C90ECE" w:rsidRPr="008C6036">
        <w:rPr>
          <w:sz w:val="28"/>
          <w:szCs w:val="28"/>
        </w:rPr>
        <w:t xml:space="preserve">rogetto europeo </w:t>
      </w:r>
      <w:r w:rsidR="00576CC5">
        <w:rPr>
          <w:sz w:val="28"/>
          <w:szCs w:val="28"/>
        </w:rPr>
        <w:t xml:space="preserve">biennale </w:t>
      </w:r>
      <w:r w:rsidR="00C90ECE" w:rsidRPr="008C6036">
        <w:rPr>
          <w:sz w:val="28"/>
          <w:szCs w:val="28"/>
        </w:rPr>
        <w:t>2015-16 sulle Relazioni Industriali a livello globale</w:t>
      </w:r>
      <w:r w:rsidR="00E378A0">
        <w:rPr>
          <w:sz w:val="28"/>
          <w:szCs w:val="28"/>
        </w:rPr>
        <w:t>, co-finanziato dall’Unione europea.</w:t>
      </w:r>
    </w:p>
    <w:p w:rsidR="0022079D" w:rsidRDefault="0022079D" w:rsidP="008C61E0">
      <w:pPr>
        <w:pStyle w:val="Paragrafoelenco"/>
        <w:ind w:left="0"/>
        <w:jc w:val="both"/>
        <w:rPr>
          <w:sz w:val="28"/>
          <w:szCs w:val="28"/>
        </w:rPr>
      </w:pPr>
    </w:p>
    <w:p w:rsidR="0022079D" w:rsidRDefault="0022079D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decisione di aderire a questo Progetto nasce dalla considerazione che, negli ultimi anni, Confindustria ha registrato un forte interesse delle imprese a sviluppare strumenti nuovi per la gestione delle relazioni industriali a livello globale, come ad esempio i </w:t>
      </w:r>
      <w:proofErr w:type="spellStart"/>
      <w:r>
        <w:rPr>
          <w:sz w:val="28"/>
          <w:szCs w:val="28"/>
        </w:rPr>
        <w:t>TCAs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22079D">
        <w:rPr>
          <w:i/>
          <w:sz w:val="28"/>
          <w:szCs w:val="28"/>
        </w:rPr>
        <w:t>transnational</w:t>
      </w:r>
      <w:proofErr w:type="spellEnd"/>
      <w:r w:rsidR="00576CC5" w:rsidRPr="0022079D">
        <w:rPr>
          <w:i/>
          <w:sz w:val="28"/>
          <w:szCs w:val="28"/>
        </w:rPr>
        <w:t xml:space="preserve"> </w:t>
      </w:r>
      <w:r w:rsidRPr="0022079D">
        <w:rPr>
          <w:i/>
          <w:sz w:val="28"/>
          <w:szCs w:val="28"/>
        </w:rPr>
        <w:t xml:space="preserve">company </w:t>
      </w:r>
      <w:proofErr w:type="spellStart"/>
      <w:r w:rsidRPr="0022079D">
        <w:rPr>
          <w:i/>
          <w:sz w:val="28"/>
          <w:szCs w:val="28"/>
        </w:rPr>
        <w:t>agreements</w:t>
      </w:r>
      <w:proofErr w:type="spellEnd"/>
      <w:r>
        <w:rPr>
          <w:sz w:val="28"/>
          <w:szCs w:val="28"/>
        </w:rPr>
        <w:t xml:space="preserve">), quei “contratti collettivi di gruppo” che regolano alcuni aspetti delle relazioni di lavoro per le imprese multi localizzate a livello europeo o addirittura globale. </w:t>
      </w:r>
    </w:p>
    <w:p w:rsidR="0022079D" w:rsidRDefault="0022079D" w:rsidP="008C61E0">
      <w:pPr>
        <w:pStyle w:val="Paragrafoelenco"/>
        <w:ind w:left="0"/>
        <w:jc w:val="both"/>
        <w:rPr>
          <w:sz w:val="28"/>
          <w:szCs w:val="28"/>
        </w:rPr>
      </w:pPr>
    </w:p>
    <w:p w:rsidR="0022079D" w:rsidRDefault="0022079D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dimensione sovranazionale, questi contratti non possono che prendere a riferimento le previsioni dettate dagli standard internazionali del lavoro (principalmente Convenzioni ILO o ONU sui diritti sociali e umani, oppure </w:t>
      </w:r>
      <w:proofErr w:type="spellStart"/>
      <w:r>
        <w:rPr>
          <w:sz w:val="28"/>
          <w:szCs w:val="28"/>
        </w:rPr>
        <w:t>guidelines</w:t>
      </w:r>
      <w:proofErr w:type="spellEnd"/>
      <w:r>
        <w:rPr>
          <w:sz w:val="28"/>
          <w:szCs w:val="28"/>
        </w:rPr>
        <w:t xml:space="preserve"> dell’OCSE sulla responsabilità sociale d’i</w:t>
      </w:r>
      <w:r w:rsidR="001938A1">
        <w:rPr>
          <w:sz w:val="28"/>
          <w:szCs w:val="28"/>
        </w:rPr>
        <w:t>m</w:t>
      </w:r>
      <w:r>
        <w:rPr>
          <w:sz w:val="28"/>
          <w:szCs w:val="28"/>
        </w:rPr>
        <w:t>presa)</w:t>
      </w:r>
      <w:r w:rsidR="001938A1">
        <w:rPr>
          <w:sz w:val="28"/>
          <w:szCs w:val="28"/>
        </w:rPr>
        <w:t>.</w:t>
      </w:r>
    </w:p>
    <w:p w:rsidR="001938A1" w:rsidRDefault="001938A1" w:rsidP="008C61E0">
      <w:pPr>
        <w:pStyle w:val="Paragrafoelenco"/>
        <w:ind w:left="0"/>
        <w:jc w:val="both"/>
        <w:rPr>
          <w:sz w:val="28"/>
          <w:szCs w:val="28"/>
        </w:rPr>
      </w:pPr>
    </w:p>
    <w:p w:rsidR="001938A1" w:rsidRDefault="001938A1" w:rsidP="008C61E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Il Progetto è</w:t>
      </w:r>
      <w:r w:rsidR="00142E26">
        <w:rPr>
          <w:sz w:val="28"/>
          <w:szCs w:val="28"/>
        </w:rPr>
        <w:t xml:space="preserve"> stato</w:t>
      </w:r>
      <w:r>
        <w:rPr>
          <w:sz w:val="28"/>
          <w:szCs w:val="28"/>
        </w:rPr>
        <w:t xml:space="preserve">, quindi, volto a favorire una conoscenza più approfondita di tali standard, delle loro modalità di applicazione, in modo da supportare le imprese associate su queste dinamiche, destinate ad avere una sempre maggiore diffusione. </w:t>
      </w:r>
    </w:p>
    <w:p w:rsidR="00E378A0" w:rsidRPr="00E378A0" w:rsidRDefault="00E378A0" w:rsidP="00E378A0">
      <w:pPr>
        <w:ind w:right="-285"/>
        <w:jc w:val="both"/>
        <w:rPr>
          <w:rFonts w:cs="Arial"/>
          <w:sz w:val="28"/>
          <w:szCs w:val="28"/>
        </w:rPr>
      </w:pPr>
      <w:r w:rsidRPr="00E378A0">
        <w:rPr>
          <w:rFonts w:cs="Arial"/>
          <w:sz w:val="28"/>
          <w:szCs w:val="28"/>
        </w:rPr>
        <w:t>Il Progetto</w:t>
      </w:r>
      <w:r>
        <w:rPr>
          <w:rFonts w:cs="Arial"/>
          <w:sz w:val="28"/>
          <w:szCs w:val="28"/>
        </w:rPr>
        <w:t xml:space="preserve"> </w:t>
      </w:r>
      <w:r w:rsidRPr="00E378A0">
        <w:rPr>
          <w:rFonts w:cs="Arial"/>
          <w:sz w:val="28"/>
          <w:szCs w:val="28"/>
        </w:rPr>
        <w:t>mira</w:t>
      </w:r>
      <w:r>
        <w:rPr>
          <w:rFonts w:cs="Arial"/>
          <w:sz w:val="28"/>
          <w:szCs w:val="28"/>
        </w:rPr>
        <w:t>, inoltre,</w:t>
      </w:r>
      <w:r w:rsidRPr="00E378A0">
        <w:rPr>
          <w:rFonts w:cs="Arial"/>
          <w:sz w:val="28"/>
          <w:szCs w:val="28"/>
        </w:rPr>
        <w:t xml:space="preserve"> ad approfondire, tra i vari aspetti sottesi alla contrattazione collettiva transnazionale, anche quello del rapporto tra l’attività di impresa e il rispetto dei diritti umani, rivolgendo particolare attenzione agli aspetti riguardanti le catene di fornitura globali e i diversi strumenti utilizzabili dalle imprese per assicurare una gestione sostenibile delle stesse. </w:t>
      </w:r>
    </w:p>
    <w:p w:rsidR="00E378A0" w:rsidRPr="00E378A0" w:rsidRDefault="00E378A0" w:rsidP="00E378A0">
      <w:pPr>
        <w:tabs>
          <w:tab w:val="left" w:pos="-284"/>
          <w:tab w:val="left" w:pos="0"/>
          <w:tab w:val="left" w:pos="284"/>
        </w:tabs>
        <w:jc w:val="both"/>
        <w:rPr>
          <w:rFonts w:cs="Arial"/>
          <w:sz w:val="28"/>
          <w:szCs w:val="28"/>
        </w:rPr>
      </w:pPr>
      <w:r w:rsidRPr="00E378A0">
        <w:rPr>
          <w:rFonts w:cs="Arial"/>
          <w:sz w:val="28"/>
          <w:szCs w:val="28"/>
        </w:rPr>
        <w:t xml:space="preserve">L’approccio pragmatico cui </w:t>
      </w:r>
      <w:r w:rsidR="00CA4278">
        <w:rPr>
          <w:rFonts w:cs="Arial"/>
          <w:sz w:val="28"/>
          <w:szCs w:val="28"/>
        </w:rPr>
        <w:t xml:space="preserve">si </w:t>
      </w:r>
      <w:r w:rsidRPr="00E378A0">
        <w:rPr>
          <w:rFonts w:cs="Arial"/>
          <w:sz w:val="28"/>
          <w:szCs w:val="28"/>
        </w:rPr>
        <w:t xml:space="preserve">è ispirato il Progetto ha consentito di sviluppare, nel corso del 2015, due strumenti operativi a disposizione delle imprese - soprattutto PMI - attive nelle catene di fornitura, e quindi direttamente coinvolte dalle problematiche connesse al rispetto dei diritti umani: </w:t>
      </w:r>
    </w:p>
    <w:p w:rsidR="00E378A0" w:rsidRPr="00E378A0" w:rsidRDefault="00E378A0" w:rsidP="00E378A0">
      <w:pPr>
        <w:tabs>
          <w:tab w:val="left" w:pos="-284"/>
          <w:tab w:val="left" w:pos="0"/>
          <w:tab w:val="left" w:pos="284"/>
        </w:tabs>
        <w:jc w:val="both"/>
        <w:rPr>
          <w:rFonts w:cs="Arial"/>
          <w:sz w:val="28"/>
          <w:szCs w:val="28"/>
        </w:rPr>
      </w:pPr>
      <w:r w:rsidRPr="00E378A0">
        <w:rPr>
          <w:rFonts w:cs="Arial"/>
          <w:sz w:val="28"/>
          <w:szCs w:val="28"/>
        </w:rPr>
        <w:t xml:space="preserve">1) un </w:t>
      </w:r>
      <w:r w:rsidRPr="00E378A0">
        <w:rPr>
          <w:rFonts w:cs="Arial"/>
          <w:b/>
          <w:sz w:val="28"/>
          <w:szCs w:val="28"/>
        </w:rPr>
        <w:t>Modulo di apprendimento online</w:t>
      </w:r>
      <w:r w:rsidRPr="00E378A0">
        <w:rPr>
          <w:rFonts w:cs="Arial"/>
          <w:sz w:val="28"/>
          <w:szCs w:val="28"/>
        </w:rPr>
        <w:t xml:space="preserve">, a disposizione di tutte le imprese interessate sugli attuali standard internazionali del lavoro e sulla responsabilità sociale, e </w:t>
      </w:r>
    </w:p>
    <w:p w:rsidR="00E378A0" w:rsidRPr="00E378A0" w:rsidRDefault="00E378A0" w:rsidP="00E378A0">
      <w:pPr>
        <w:tabs>
          <w:tab w:val="left" w:pos="-284"/>
          <w:tab w:val="left" w:pos="284"/>
        </w:tabs>
        <w:jc w:val="both"/>
        <w:rPr>
          <w:rFonts w:cs="Arial"/>
          <w:sz w:val="28"/>
          <w:szCs w:val="28"/>
        </w:rPr>
      </w:pPr>
      <w:r w:rsidRPr="00E378A0">
        <w:rPr>
          <w:rFonts w:cs="Arial"/>
          <w:sz w:val="28"/>
          <w:szCs w:val="28"/>
        </w:rPr>
        <w:t xml:space="preserve">2) una </w:t>
      </w:r>
      <w:r w:rsidRPr="00E378A0">
        <w:rPr>
          <w:rFonts w:cs="Arial"/>
          <w:b/>
          <w:sz w:val="28"/>
          <w:szCs w:val="28"/>
        </w:rPr>
        <w:t>Guida pratica</w:t>
      </w:r>
      <w:r w:rsidRPr="00E378A0">
        <w:rPr>
          <w:rFonts w:cs="Arial"/>
          <w:sz w:val="28"/>
          <w:szCs w:val="28"/>
        </w:rPr>
        <w:t xml:space="preserve">, intesa a fornire indicazioni operative per le imprese – soprattutto PMI - che intendono adottare strumenti, autonomi o sviluppati </w:t>
      </w:r>
      <w:r w:rsidRPr="00E378A0">
        <w:rPr>
          <w:rFonts w:cs="Arial"/>
          <w:sz w:val="28"/>
          <w:szCs w:val="28"/>
        </w:rPr>
        <w:lastRenderedPageBreak/>
        <w:t>nell’ambito della contrattazione collettiva, volti ad assicurare una gestione sostenibile della catena di fornitura.</w:t>
      </w:r>
    </w:p>
    <w:p w:rsidR="00E378A0" w:rsidRPr="00CA1DE8" w:rsidRDefault="00E378A0" w:rsidP="00CA1DE8">
      <w:pPr>
        <w:jc w:val="both"/>
        <w:rPr>
          <w:sz w:val="28"/>
          <w:szCs w:val="28"/>
        </w:rPr>
      </w:pPr>
      <w:r w:rsidRPr="00E378A0">
        <w:rPr>
          <w:rFonts w:cs="Arial"/>
          <w:sz w:val="28"/>
          <w:szCs w:val="28"/>
        </w:rPr>
        <w:t>Il Progetto</w:t>
      </w:r>
      <w:r>
        <w:rPr>
          <w:rFonts w:cs="Arial"/>
          <w:sz w:val="28"/>
          <w:szCs w:val="28"/>
        </w:rPr>
        <w:t xml:space="preserve">, che si concluderà a Bruxelles nel settembre 2016, </w:t>
      </w:r>
      <w:r w:rsidRPr="00E378A0">
        <w:rPr>
          <w:rFonts w:cs="Arial"/>
          <w:sz w:val="28"/>
          <w:szCs w:val="28"/>
        </w:rPr>
        <w:t xml:space="preserve">si </w:t>
      </w:r>
      <w:r>
        <w:rPr>
          <w:rFonts w:cs="Arial"/>
          <w:sz w:val="28"/>
          <w:szCs w:val="28"/>
        </w:rPr>
        <w:t>è articolato</w:t>
      </w:r>
      <w:r w:rsidRPr="00E378A0">
        <w:rPr>
          <w:rFonts w:cs="Arial"/>
          <w:sz w:val="28"/>
          <w:szCs w:val="28"/>
        </w:rPr>
        <w:t xml:space="preserve"> in distinti momenti di confronto e approfondimento, sia formativo che informativo, </w:t>
      </w:r>
      <w:r>
        <w:rPr>
          <w:rFonts w:cs="Arial"/>
          <w:sz w:val="28"/>
          <w:szCs w:val="28"/>
        </w:rPr>
        <w:t xml:space="preserve">svoltisi </w:t>
      </w:r>
      <w:r w:rsidRPr="00E378A0">
        <w:rPr>
          <w:rFonts w:cs="Arial"/>
          <w:sz w:val="28"/>
          <w:szCs w:val="28"/>
        </w:rPr>
        <w:t xml:space="preserve">presso il Centro di Formazione ILO con sede a Torino, rivolto </w:t>
      </w:r>
      <w:r w:rsidR="00CA4278">
        <w:rPr>
          <w:rFonts w:cs="Arial"/>
          <w:sz w:val="28"/>
          <w:szCs w:val="28"/>
        </w:rPr>
        <w:t xml:space="preserve">sia </w:t>
      </w:r>
      <w:r w:rsidRPr="00E378A0">
        <w:rPr>
          <w:rFonts w:cs="Arial"/>
          <w:sz w:val="28"/>
          <w:szCs w:val="28"/>
        </w:rPr>
        <w:t xml:space="preserve">ai funzionari delle </w:t>
      </w:r>
      <w:r>
        <w:rPr>
          <w:rFonts w:cs="Arial"/>
          <w:sz w:val="28"/>
          <w:szCs w:val="28"/>
        </w:rPr>
        <w:t xml:space="preserve">Organizzazioni imprenditoriali </w:t>
      </w:r>
      <w:r w:rsidR="00CA4278">
        <w:rPr>
          <w:rFonts w:cs="Arial"/>
          <w:sz w:val="28"/>
          <w:szCs w:val="28"/>
        </w:rPr>
        <w:t xml:space="preserve">che </w:t>
      </w:r>
      <w:r w:rsidRPr="00E378A0">
        <w:rPr>
          <w:rFonts w:cs="Arial"/>
          <w:sz w:val="28"/>
          <w:szCs w:val="28"/>
        </w:rPr>
        <w:t>direttamente alle imprese, in cui s</w:t>
      </w:r>
      <w:r>
        <w:rPr>
          <w:rFonts w:cs="Arial"/>
          <w:sz w:val="28"/>
          <w:szCs w:val="28"/>
        </w:rPr>
        <w:t xml:space="preserve">ono stati </w:t>
      </w:r>
      <w:r w:rsidRPr="00E378A0">
        <w:rPr>
          <w:rFonts w:cs="Arial"/>
          <w:sz w:val="28"/>
          <w:szCs w:val="28"/>
        </w:rPr>
        <w:t xml:space="preserve">coinvolti i principali attori a livello europeo ed internazionale del dibattito sulla contrattazione collettiva transnazionale e in cui </w:t>
      </w:r>
      <w:r>
        <w:rPr>
          <w:rFonts w:cs="Arial"/>
          <w:sz w:val="28"/>
          <w:szCs w:val="28"/>
        </w:rPr>
        <w:t xml:space="preserve">sono state </w:t>
      </w:r>
      <w:r w:rsidRPr="00E378A0">
        <w:rPr>
          <w:rFonts w:cs="Arial"/>
          <w:sz w:val="28"/>
          <w:szCs w:val="28"/>
        </w:rPr>
        <w:t xml:space="preserve">presentate diverse esperienze di gestione delle dinamiche di relazioni industriali a livello globale. </w:t>
      </w:r>
    </w:p>
    <w:p w:rsidR="00C90ECE" w:rsidRPr="00E378A0" w:rsidRDefault="00E378A0" w:rsidP="00E378A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L’impegno di Confindustria proseguirà anche nel biennio 2017 – 2018 con il </w:t>
      </w:r>
      <w:r w:rsidR="00C90ECE" w:rsidRPr="00E378A0">
        <w:rPr>
          <w:sz w:val="28"/>
          <w:szCs w:val="28"/>
        </w:rPr>
        <w:t xml:space="preserve">Progetto </w:t>
      </w:r>
      <w:r>
        <w:rPr>
          <w:sz w:val="28"/>
          <w:szCs w:val="28"/>
        </w:rPr>
        <w:t xml:space="preserve">dal titolo </w:t>
      </w:r>
      <w:r w:rsidR="00C90ECE" w:rsidRPr="00E378A0">
        <w:rPr>
          <w:sz w:val="28"/>
          <w:szCs w:val="28"/>
        </w:rPr>
        <w:t>“</w:t>
      </w:r>
      <w:proofErr w:type="spellStart"/>
      <w:r w:rsidR="00C90ECE" w:rsidRPr="00E378A0">
        <w:rPr>
          <w:sz w:val="28"/>
          <w:szCs w:val="28"/>
        </w:rPr>
        <w:t>Transnational</w:t>
      </w:r>
      <w:proofErr w:type="spellEnd"/>
      <w:r w:rsidR="00C90ECE" w:rsidRPr="00E378A0">
        <w:rPr>
          <w:sz w:val="28"/>
          <w:szCs w:val="28"/>
        </w:rPr>
        <w:t xml:space="preserve"> Company </w:t>
      </w:r>
      <w:proofErr w:type="spellStart"/>
      <w:r w:rsidR="00C90ECE" w:rsidRPr="00E378A0">
        <w:rPr>
          <w:sz w:val="28"/>
          <w:szCs w:val="28"/>
        </w:rPr>
        <w:t>Agreements</w:t>
      </w:r>
      <w:proofErr w:type="spellEnd"/>
      <w:r w:rsidR="00C90ECE" w:rsidRPr="00E378A0">
        <w:rPr>
          <w:sz w:val="28"/>
          <w:szCs w:val="28"/>
        </w:rPr>
        <w:t xml:space="preserve">: </w:t>
      </w:r>
      <w:proofErr w:type="spellStart"/>
      <w:r w:rsidR="00C90ECE" w:rsidRPr="00E378A0">
        <w:rPr>
          <w:sz w:val="28"/>
          <w:szCs w:val="28"/>
        </w:rPr>
        <w:t>issues</w:t>
      </w:r>
      <w:proofErr w:type="spellEnd"/>
      <w:r w:rsidR="00C90ECE" w:rsidRPr="00E378A0">
        <w:rPr>
          <w:sz w:val="28"/>
          <w:szCs w:val="28"/>
        </w:rPr>
        <w:t xml:space="preserve">, </w:t>
      </w:r>
      <w:proofErr w:type="spellStart"/>
      <w:r w:rsidR="00C90ECE" w:rsidRPr="00E378A0">
        <w:rPr>
          <w:sz w:val="28"/>
          <w:szCs w:val="28"/>
        </w:rPr>
        <w:t>approaches</w:t>
      </w:r>
      <w:proofErr w:type="spellEnd"/>
      <w:r w:rsidR="00C90ECE" w:rsidRPr="00E378A0">
        <w:rPr>
          <w:sz w:val="28"/>
          <w:szCs w:val="28"/>
        </w:rPr>
        <w:t xml:space="preserve"> and </w:t>
      </w:r>
      <w:proofErr w:type="spellStart"/>
      <w:r w:rsidR="00C90ECE" w:rsidRPr="00E378A0">
        <w:rPr>
          <w:sz w:val="28"/>
          <w:szCs w:val="28"/>
        </w:rPr>
        <w:t>practices</w:t>
      </w:r>
      <w:proofErr w:type="spellEnd"/>
      <w:r w:rsidR="00C90ECE" w:rsidRPr="00E378A0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C90ECE" w:rsidRPr="00E378A0">
        <w:rPr>
          <w:sz w:val="28"/>
          <w:szCs w:val="28"/>
        </w:rPr>
        <w:t xml:space="preserve"> </w:t>
      </w:r>
    </w:p>
    <w:p w:rsidR="00C90ECE" w:rsidRPr="00E378A0" w:rsidRDefault="00C90ECE" w:rsidP="00C90ECE">
      <w:pPr>
        <w:pStyle w:val="Paragrafoelenco"/>
        <w:ind w:left="2694" w:hanging="1276"/>
        <w:jc w:val="both"/>
        <w:rPr>
          <w:sz w:val="28"/>
          <w:szCs w:val="28"/>
        </w:rPr>
      </w:pPr>
    </w:p>
    <w:p w:rsidR="00C90ECE" w:rsidRDefault="00C90ECE" w:rsidP="00CA1DE8">
      <w:pPr>
        <w:pStyle w:val="Paragrafoelenco"/>
        <w:numPr>
          <w:ilvl w:val="0"/>
          <w:numId w:val="3"/>
        </w:numPr>
        <w:ind w:left="1134" w:hanging="567"/>
        <w:jc w:val="both"/>
        <w:rPr>
          <w:b/>
          <w:sz w:val="28"/>
          <w:szCs w:val="28"/>
        </w:rPr>
      </w:pPr>
      <w:r w:rsidRPr="00CA1DE8">
        <w:rPr>
          <w:b/>
          <w:sz w:val="28"/>
          <w:szCs w:val="28"/>
        </w:rPr>
        <w:t>Conferenza Generale dell’ILO/Ginevra – giugno 2016 (“</w:t>
      </w:r>
      <w:proofErr w:type="spellStart"/>
      <w:r w:rsidRPr="00CA1DE8">
        <w:rPr>
          <w:b/>
          <w:sz w:val="28"/>
          <w:szCs w:val="28"/>
        </w:rPr>
        <w:t>Decent</w:t>
      </w:r>
      <w:proofErr w:type="spellEnd"/>
      <w:r w:rsidRPr="00CA1DE8">
        <w:rPr>
          <w:b/>
          <w:sz w:val="28"/>
          <w:szCs w:val="28"/>
        </w:rPr>
        <w:t xml:space="preserve"> Work in Global </w:t>
      </w:r>
      <w:proofErr w:type="spellStart"/>
      <w:r w:rsidRPr="00CA1DE8">
        <w:rPr>
          <w:b/>
          <w:sz w:val="28"/>
          <w:szCs w:val="28"/>
        </w:rPr>
        <w:t>Supply</w:t>
      </w:r>
      <w:proofErr w:type="spellEnd"/>
      <w:r w:rsidRPr="00CA1DE8">
        <w:rPr>
          <w:b/>
          <w:sz w:val="28"/>
          <w:szCs w:val="28"/>
        </w:rPr>
        <w:t xml:space="preserve"> </w:t>
      </w:r>
      <w:proofErr w:type="spellStart"/>
      <w:r w:rsidRPr="00CA1DE8">
        <w:rPr>
          <w:b/>
          <w:sz w:val="28"/>
          <w:szCs w:val="28"/>
        </w:rPr>
        <w:t>Chains</w:t>
      </w:r>
      <w:proofErr w:type="spellEnd"/>
      <w:r w:rsidRPr="00CA1DE8">
        <w:rPr>
          <w:b/>
          <w:sz w:val="28"/>
          <w:szCs w:val="28"/>
        </w:rPr>
        <w:t>”)</w:t>
      </w:r>
    </w:p>
    <w:p w:rsidR="00CA1DE8" w:rsidRDefault="00CA1DE8" w:rsidP="00CA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nell’ambito della discussione sull’accresciuto rilievo, in ambito internazionale, del tema </w:t>
      </w:r>
      <w:r w:rsidR="00704A22">
        <w:rPr>
          <w:sz w:val="28"/>
          <w:szCs w:val="28"/>
        </w:rPr>
        <w:t xml:space="preserve">relativo alla </w:t>
      </w:r>
      <w:r>
        <w:rPr>
          <w:sz w:val="28"/>
          <w:szCs w:val="28"/>
        </w:rPr>
        <w:t>gestione sostenibile della catena di fornitura, è stato ricordato che nel corso della Conferenza Internazionale  dell’ILO a Ginevra (giugno 2016) è stata dedicata una specifica sessione al “Lavoro Dignitoso nelle catene di fornitura globali”.</w:t>
      </w:r>
    </w:p>
    <w:p w:rsidR="00704A22" w:rsidRDefault="00CA1DE8" w:rsidP="00120729">
      <w:pPr>
        <w:jc w:val="both"/>
        <w:rPr>
          <w:sz w:val="28"/>
          <w:szCs w:val="28"/>
        </w:rPr>
      </w:pPr>
      <w:r>
        <w:rPr>
          <w:sz w:val="28"/>
          <w:szCs w:val="28"/>
        </w:rPr>
        <w:t>Vi sono, infatti, forti spinte verso l’adozione di nuovi principi vincolanti in materia da parte dell’ILO</w:t>
      </w:r>
      <w:r w:rsidR="00565C54">
        <w:rPr>
          <w:sz w:val="28"/>
          <w:szCs w:val="28"/>
        </w:rPr>
        <w:t>/sindacati</w:t>
      </w:r>
      <w:r>
        <w:rPr>
          <w:sz w:val="28"/>
          <w:szCs w:val="28"/>
        </w:rPr>
        <w:t>, a cui il gruppo imprenditoriale si è fortemente opposto.</w:t>
      </w:r>
      <w:r w:rsidR="00012177">
        <w:rPr>
          <w:sz w:val="28"/>
          <w:szCs w:val="28"/>
        </w:rPr>
        <w:t xml:space="preserve"> </w:t>
      </w:r>
    </w:p>
    <w:p w:rsidR="00C90ECE" w:rsidRPr="005E403C" w:rsidRDefault="00012177" w:rsidP="00120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tentativo di dare avvio a tale processo è stato, con successo, fermato. Tuttavia, si tratta di una evoluzione difficilmente arrestabile, </w:t>
      </w:r>
      <w:r w:rsidR="00704A22">
        <w:rPr>
          <w:sz w:val="28"/>
          <w:szCs w:val="28"/>
        </w:rPr>
        <w:t xml:space="preserve">su cui </w:t>
      </w:r>
      <w:r>
        <w:rPr>
          <w:sz w:val="28"/>
          <w:szCs w:val="28"/>
        </w:rPr>
        <w:t>si avranno certamente importanti sviluppi nei prossimi anni</w:t>
      </w:r>
      <w:r w:rsidR="00704A22">
        <w:rPr>
          <w:sz w:val="28"/>
          <w:szCs w:val="28"/>
        </w:rPr>
        <w:t>.</w:t>
      </w:r>
    </w:p>
    <w:p w:rsidR="00C90ECE" w:rsidRDefault="00C90ECE" w:rsidP="00120729">
      <w:pPr>
        <w:pStyle w:val="Paragrafoelenco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012177">
        <w:rPr>
          <w:b/>
          <w:sz w:val="28"/>
          <w:szCs w:val="28"/>
        </w:rPr>
        <w:t>Seguito della Strategia UE sulla Responsabilità Sociale di Impresa</w:t>
      </w:r>
    </w:p>
    <w:p w:rsidR="00F842BE" w:rsidRDefault="004B5428" w:rsidP="00120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stato ricordato che la pubblicazione del nuovo Piano UE sulla RSI (rinnovo della precedente  strategia sulla </w:t>
      </w:r>
      <w:r w:rsidR="00565C54">
        <w:rPr>
          <w:sz w:val="28"/>
          <w:szCs w:val="28"/>
        </w:rPr>
        <w:t>RSI</w:t>
      </w:r>
      <w:r>
        <w:rPr>
          <w:sz w:val="28"/>
          <w:szCs w:val="28"/>
        </w:rPr>
        <w:t xml:space="preserve"> avrà luogo non prima d</w:t>
      </w:r>
      <w:r w:rsidR="00565C54">
        <w:rPr>
          <w:sz w:val="28"/>
          <w:szCs w:val="28"/>
        </w:rPr>
        <w:t xml:space="preserve">el </w:t>
      </w:r>
      <w:r>
        <w:rPr>
          <w:sz w:val="28"/>
          <w:szCs w:val="28"/>
        </w:rPr>
        <w:t>settembre</w:t>
      </w:r>
      <w:r w:rsidR="00565C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, diversamente da quanto annunciato nei mesi scorsi dalla stessa Commissione.  </w:t>
      </w:r>
    </w:p>
    <w:p w:rsidR="004B5428" w:rsidRDefault="004B5428" w:rsidP="00120729">
      <w:pPr>
        <w:jc w:val="both"/>
        <w:rPr>
          <w:sz w:val="28"/>
          <w:szCs w:val="28"/>
        </w:rPr>
      </w:pPr>
      <w:r>
        <w:rPr>
          <w:sz w:val="28"/>
          <w:szCs w:val="28"/>
        </w:rPr>
        <w:t>Da informazioni ufficiose r</w:t>
      </w:r>
      <w:r w:rsidR="005B3717">
        <w:rPr>
          <w:sz w:val="28"/>
          <w:szCs w:val="28"/>
        </w:rPr>
        <w:t xml:space="preserve">icevute da </w:t>
      </w:r>
      <w:proofErr w:type="spellStart"/>
      <w:r>
        <w:rPr>
          <w:sz w:val="28"/>
          <w:szCs w:val="28"/>
        </w:rPr>
        <w:t>Businesseurope</w:t>
      </w:r>
      <w:proofErr w:type="spellEnd"/>
      <w:r>
        <w:rPr>
          <w:sz w:val="28"/>
          <w:szCs w:val="28"/>
        </w:rPr>
        <w:t>, sembra che il nuovo documento non costituirà un</w:t>
      </w:r>
      <w:r w:rsidR="00120729">
        <w:rPr>
          <w:sz w:val="28"/>
          <w:szCs w:val="28"/>
        </w:rPr>
        <w:t xml:space="preserve">a nuova strategia ma rappresenterà piuttosto </w:t>
      </w:r>
      <w:r w:rsidR="00565C54">
        <w:rPr>
          <w:sz w:val="28"/>
          <w:szCs w:val="28"/>
        </w:rPr>
        <w:t xml:space="preserve">un aggiornamento </w:t>
      </w:r>
      <w:r w:rsidR="00120729">
        <w:rPr>
          <w:sz w:val="28"/>
          <w:szCs w:val="28"/>
        </w:rPr>
        <w:t xml:space="preserve">della precedente (2012 – 2014). </w:t>
      </w:r>
    </w:p>
    <w:p w:rsidR="00120729" w:rsidRDefault="005B3717" w:rsidP="001207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20729">
        <w:rPr>
          <w:sz w:val="28"/>
          <w:szCs w:val="28"/>
        </w:rPr>
        <w:t>appiamo che</w:t>
      </w:r>
      <w:r w:rsidR="00D80971">
        <w:rPr>
          <w:sz w:val="28"/>
          <w:szCs w:val="28"/>
        </w:rPr>
        <w:t>, nel documento,</w:t>
      </w:r>
      <w:r w:rsidR="00120729">
        <w:rPr>
          <w:sz w:val="28"/>
          <w:szCs w:val="28"/>
        </w:rPr>
        <w:t xml:space="preserve"> verrà dato risalto al tema del recepimento/Direttiva sulla comunicazione delle informazioni non finanziarie.</w:t>
      </w:r>
    </w:p>
    <w:p w:rsidR="00120729" w:rsidRPr="00F842BE" w:rsidRDefault="00120729" w:rsidP="00E1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nell’autunno 2016, è prevista la pubblicazione delle Linee guida della </w:t>
      </w:r>
      <w:r w:rsidR="007328A7">
        <w:rPr>
          <w:sz w:val="28"/>
          <w:szCs w:val="28"/>
        </w:rPr>
        <w:t>C</w:t>
      </w:r>
      <w:r>
        <w:rPr>
          <w:sz w:val="28"/>
          <w:szCs w:val="28"/>
        </w:rPr>
        <w:t>ommissione europea</w:t>
      </w:r>
      <w:r w:rsidR="007328A7">
        <w:rPr>
          <w:sz w:val="28"/>
          <w:szCs w:val="28"/>
        </w:rPr>
        <w:t xml:space="preserve"> sulla rendicontazione non finanziaria: strumento non vincolante che si propone di fornire una “guida metodologica” alle imprese destinatarie della direttiva, impegnate </w:t>
      </w:r>
      <w:r w:rsidR="00D80971">
        <w:rPr>
          <w:sz w:val="28"/>
          <w:szCs w:val="28"/>
        </w:rPr>
        <w:t xml:space="preserve">nel </w:t>
      </w:r>
      <w:r w:rsidR="007328A7">
        <w:rPr>
          <w:sz w:val="28"/>
          <w:szCs w:val="28"/>
        </w:rPr>
        <w:t>processo di rendicontazione</w:t>
      </w:r>
      <w:r w:rsidR="00D80971">
        <w:rPr>
          <w:sz w:val="28"/>
          <w:szCs w:val="28"/>
        </w:rPr>
        <w:t xml:space="preserve"> non finanziaria.</w:t>
      </w:r>
      <w:r w:rsidR="007328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90ECE" w:rsidRDefault="00C90ECE" w:rsidP="00E14CD0">
      <w:pPr>
        <w:pStyle w:val="Paragrafoelenco"/>
        <w:ind w:left="1134"/>
        <w:jc w:val="both"/>
        <w:rPr>
          <w:sz w:val="28"/>
          <w:szCs w:val="28"/>
        </w:rPr>
      </w:pPr>
    </w:p>
    <w:p w:rsidR="00C90ECE" w:rsidRDefault="00C90ECE" w:rsidP="00E14CD0">
      <w:pPr>
        <w:pStyle w:val="Paragrafoelenco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5B3717">
        <w:rPr>
          <w:b/>
          <w:sz w:val="28"/>
          <w:szCs w:val="28"/>
        </w:rPr>
        <w:t xml:space="preserve">Punto di Contatto Nazionale – Aggiornamenti </w:t>
      </w:r>
    </w:p>
    <w:p w:rsidR="001349DF" w:rsidRDefault="001349DF" w:rsidP="00E14CD0">
      <w:pPr>
        <w:pStyle w:val="Paragrafoelenco"/>
        <w:ind w:left="567"/>
        <w:jc w:val="both"/>
        <w:rPr>
          <w:b/>
          <w:sz w:val="28"/>
          <w:szCs w:val="28"/>
        </w:rPr>
      </w:pPr>
    </w:p>
    <w:p w:rsidR="001349DF" w:rsidRDefault="001349DF" w:rsidP="00E14CD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Sono stati illustrati i recenti sviluppi relativi alle attività del Punto di Contatto Nazionale istituito presso il MISE</w:t>
      </w:r>
      <w:r w:rsidR="00226F5D">
        <w:rPr>
          <w:sz w:val="28"/>
          <w:szCs w:val="28"/>
        </w:rPr>
        <w:t>, l’organismo che ha il compito di assicurare la diffusione e la corretta attuazione delle Linee guida OCSE sulla RSI.</w:t>
      </w:r>
    </w:p>
    <w:p w:rsidR="001349DF" w:rsidRDefault="001349DF" w:rsidP="00E14CD0">
      <w:pPr>
        <w:pStyle w:val="Paragrafoelenco"/>
        <w:ind w:left="0"/>
        <w:jc w:val="both"/>
        <w:rPr>
          <w:sz w:val="28"/>
          <w:szCs w:val="28"/>
        </w:rPr>
      </w:pPr>
    </w:p>
    <w:p w:rsidR="001349DF" w:rsidRDefault="00E14CD0" w:rsidP="00E14CD0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In particolare, è stata illustrata la recente inizi</w:t>
      </w:r>
      <w:r w:rsidR="000D7BB0">
        <w:rPr>
          <w:sz w:val="28"/>
          <w:szCs w:val="28"/>
        </w:rPr>
        <w:t>a</w:t>
      </w:r>
      <w:r>
        <w:rPr>
          <w:sz w:val="28"/>
          <w:szCs w:val="28"/>
        </w:rPr>
        <w:t xml:space="preserve">tiva OCSE, </w:t>
      </w:r>
      <w:r w:rsidR="00C16F2D">
        <w:rPr>
          <w:sz w:val="28"/>
          <w:szCs w:val="28"/>
        </w:rPr>
        <w:t>avente ad oggetto la p</w:t>
      </w:r>
      <w:r>
        <w:rPr>
          <w:sz w:val="28"/>
          <w:szCs w:val="28"/>
        </w:rPr>
        <w:t>rom</w:t>
      </w:r>
      <w:r w:rsidR="00C16F2D">
        <w:rPr>
          <w:sz w:val="28"/>
          <w:szCs w:val="28"/>
        </w:rPr>
        <w:t xml:space="preserve">ozione di </w:t>
      </w:r>
      <w:r>
        <w:rPr>
          <w:sz w:val="28"/>
          <w:szCs w:val="28"/>
        </w:rPr>
        <w:t>una “</w:t>
      </w:r>
      <w:proofErr w:type="spellStart"/>
      <w:r w:rsidRPr="00E14CD0">
        <w:rPr>
          <w:i/>
          <w:sz w:val="28"/>
          <w:szCs w:val="28"/>
        </w:rPr>
        <w:t>Peer</w:t>
      </w:r>
      <w:proofErr w:type="spellEnd"/>
      <w:r w:rsidRPr="00E14CD0">
        <w:rPr>
          <w:i/>
          <w:sz w:val="28"/>
          <w:szCs w:val="28"/>
        </w:rPr>
        <w:t xml:space="preserve"> </w:t>
      </w:r>
      <w:proofErr w:type="spellStart"/>
      <w:r w:rsidRPr="00E14CD0">
        <w:rPr>
          <w:i/>
          <w:sz w:val="28"/>
          <w:szCs w:val="28"/>
        </w:rPr>
        <w:t>Review</w:t>
      </w:r>
      <w:proofErr w:type="spellEnd"/>
      <w:r>
        <w:rPr>
          <w:sz w:val="28"/>
          <w:szCs w:val="28"/>
        </w:rPr>
        <w:t>” tra vari PCN, tra cui quello italiano</w:t>
      </w:r>
      <w:r w:rsidR="000D7BB0">
        <w:rPr>
          <w:sz w:val="28"/>
          <w:szCs w:val="28"/>
        </w:rPr>
        <w:t xml:space="preserve">, volta a valutare le </w:t>
      </w:r>
      <w:r w:rsidR="000D7BB0" w:rsidRPr="000D7BB0">
        <w:rPr>
          <w:i/>
          <w:sz w:val="28"/>
          <w:szCs w:val="28"/>
        </w:rPr>
        <w:t xml:space="preserve">performance </w:t>
      </w:r>
      <w:r w:rsidR="000D7BB0">
        <w:rPr>
          <w:sz w:val="28"/>
          <w:szCs w:val="28"/>
        </w:rPr>
        <w:t>dell’Italia e l’equivalenza funzionale rispetto ai PCN dei 46 Paesi aderenti alla Dichiarazione OCSE sugli investimenti internazionali.</w:t>
      </w:r>
    </w:p>
    <w:p w:rsidR="00C16F2D" w:rsidRDefault="00C16F2D" w:rsidP="00E14CD0">
      <w:pPr>
        <w:pStyle w:val="Paragrafoelenco"/>
        <w:ind w:left="0"/>
        <w:jc w:val="both"/>
        <w:rPr>
          <w:sz w:val="28"/>
          <w:szCs w:val="28"/>
        </w:rPr>
      </w:pPr>
    </w:p>
    <w:p w:rsidR="00C16F2D" w:rsidRPr="00C16F2D" w:rsidRDefault="00C16F2D" w:rsidP="0005377A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candidatura del PCN italiano nella </w:t>
      </w:r>
      <w:proofErr w:type="spellStart"/>
      <w:r w:rsidRPr="00C16F2D">
        <w:rPr>
          <w:i/>
          <w:sz w:val="28"/>
          <w:szCs w:val="28"/>
        </w:rPr>
        <w:t>Peer</w:t>
      </w:r>
      <w:proofErr w:type="spellEnd"/>
      <w:r w:rsidRPr="00C16F2D">
        <w:rPr>
          <w:i/>
          <w:sz w:val="28"/>
          <w:szCs w:val="28"/>
        </w:rPr>
        <w:t xml:space="preserve"> </w:t>
      </w:r>
      <w:proofErr w:type="spellStart"/>
      <w:r w:rsidRPr="00C16F2D">
        <w:rPr>
          <w:i/>
          <w:sz w:val="28"/>
          <w:szCs w:val="28"/>
        </w:rPr>
        <w:t>Review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si colloca in un contesto di crescente attenzione a livello internazionale per i temi della condotta d’impresa responsabile e del ruolo delle imprese nei confronti dei diritti umani, dei lavoratori e dell’ambiente.</w:t>
      </w:r>
    </w:p>
    <w:p w:rsidR="00C90ECE" w:rsidRDefault="00C16F2D" w:rsidP="00053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l’OCSE ha trasmesso al PCN italiano un questionario destinato agli interlocutori in esso rappresentati - tra cui Confindustria.</w:t>
      </w:r>
    </w:p>
    <w:p w:rsidR="00C16F2D" w:rsidRDefault="00C16F2D" w:rsidP="00053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Confindustria ha trasmesso il proprio contributo al Segretariato del PCN nei tempi assegnati. </w:t>
      </w:r>
    </w:p>
    <w:p w:rsidR="00C16F2D" w:rsidRPr="00C16F2D" w:rsidRDefault="00C16F2D" w:rsidP="00053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delegazione OCSE, insieme ad altri PCN esteri, si riuniranno a Roma presso il MISE nelle date del 14 e 15 settembre 2016.</w:t>
      </w:r>
    </w:p>
    <w:sectPr w:rsidR="00C16F2D" w:rsidRPr="00C16F2D" w:rsidSect="00B439C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1E" w:rsidRDefault="009E4D1E" w:rsidP="00FE20D5">
      <w:pPr>
        <w:spacing w:after="0" w:line="240" w:lineRule="auto"/>
      </w:pPr>
      <w:r>
        <w:separator/>
      </w:r>
    </w:p>
  </w:endnote>
  <w:endnote w:type="continuationSeparator" w:id="0">
    <w:p w:rsidR="009E4D1E" w:rsidRDefault="009E4D1E" w:rsidP="00F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9548"/>
      <w:docPartObj>
        <w:docPartGallery w:val="Page Numbers (Bottom of Page)"/>
        <w:docPartUnique/>
      </w:docPartObj>
    </w:sdtPr>
    <w:sdtContent>
      <w:p w:rsidR="001349DF" w:rsidRDefault="001349DF">
        <w:pPr>
          <w:pStyle w:val="Pidipagina"/>
          <w:jc w:val="center"/>
        </w:pPr>
        <w:fldSimple w:instr=" PAGE   \* MERGEFORMAT ">
          <w:r w:rsidR="0005377A">
            <w:rPr>
              <w:noProof/>
            </w:rPr>
            <w:t>5</w:t>
          </w:r>
        </w:fldSimple>
      </w:p>
    </w:sdtContent>
  </w:sdt>
  <w:p w:rsidR="008C61E0" w:rsidRDefault="008C61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1E" w:rsidRDefault="009E4D1E" w:rsidP="00FE20D5">
      <w:pPr>
        <w:spacing w:after="0" w:line="240" w:lineRule="auto"/>
      </w:pPr>
      <w:r>
        <w:separator/>
      </w:r>
    </w:p>
  </w:footnote>
  <w:footnote w:type="continuationSeparator" w:id="0">
    <w:p w:rsidR="009E4D1E" w:rsidRDefault="009E4D1E" w:rsidP="00F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2DE"/>
    <w:multiLevelType w:val="hybridMultilevel"/>
    <w:tmpl w:val="E03CF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4895"/>
    <w:multiLevelType w:val="hybridMultilevel"/>
    <w:tmpl w:val="F3A8FBE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C3252"/>
    <w:multiLevelType w:val="hybridMultilevel"/>
    <w:tmpl w:val="3612AB22"/>
    <w:lvl w:ilvl="0" w:tplc="BC8CD9BC">
      <w:start w:val="1"/>
      <w:numFmt w:val="decimal"/>
      <w:lvlText w:val="%1."/>
      <w:lvlJc w:val="right"/>
      <w:pPr>
        <w:ind w:left="2274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2994" w:hanging="360"/>
      </w:pPr>
    </w:lvl>
    <w:lvl w:ilvl="2" w:tplc="0410001B" w:tentative="1">
      <w:start w:val="1"/>
      <w:numFmt w:val="lowerRoman"/>
      <w:lvlText w:val="%3."/>
      <w:lvlJc w:val="right"/>
      <w:pPr>
        <w:ind w:left="3714" w:hanging="180"/>
      </w:pPr>
    </w:lvl>
    <w:lvl w:ilvl="3" w:tplc="0410000F" w:tentative="1">
      <w:start w:val="1"/>
      <w:numFmt w:val="decimal"/>
      <w:lvlText w:val="%4."/>
      <w:lvlJc w:val="left"/>
      <w:pPr>
        <w:ind w:left="4434" w:hanging="360"/>
      </w:pPr>
    </w:lvl>
    <w:lvl w:ilvl="4" w:tplc="04100019" w:tentative="1">
      <w:start w:val="1"/>
      <w:numFmt w:val="lowerLetter"/>
      <w:lvlText w:val="%5."/>
      <w:lvlJc w:val="left"/>
      <w:pPr>
        <w:ind w:left="5154" w:hanging="360"/>
      </w:pPr>
    </w:lvl>
    <w:lvl w:ilvl="5" w:tplc="0410001B" w:tentative="1">
      <w:start w:val="1"/>
      <w:numFmt w:val="lowerRoman"/>
      <w:lvlText w:val="%6."/>
      <w:lvlJc w:val="right"/>
      <w:pPr>
        <w:ind w:left="5874" w:hanging="180"/>
      </w:pPr>
    </w:lvl>
    <w:lvl w:ilvl="6" w:tplc="0410000F" w:tentative="1">
      <w:start w:val="1"/>
      <w:numFmt w:val="decimal"/>
      <w:lvlText w:val="%7."/>
      <w:lvlJc w:val="left"/>
      <w:pPr>
        <w:ind w:left="6594" w:hanging="360"/>
      </w:pPr>
    </w:lvl>
    <w:lvl w:ilvl="7" w:tplc="04100019" w:tentative="1">
      <w:start w:val="1"/>
      <w:numFmt w:val="lowerLetter"/>
      <w:lvlText w:val="%8."/>
      <w:lvlJc w:val="left"/>
      <w:pPr>
        <w:ind w:left="7314" w:hanging="360"/>
      </w:pPr>
    </w:lvl>
    <w:lvl w:ilvl="8" w:tplc="0410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3">
    <w:nsid w:val="47054058"/>
    <w:multiLevelType w:val="hybridMultilevel"/>
    <w:tmpl w:val="AB24113A"/>
    <w:lvl w:ilvl="0" w:tplc="0410000B">
      <w:start w:val="1"/>
      <w:numFmt w:val="bullet"/>
      <w:lvlText w:val=""/>
      <w:lvlJc w:val="left"/>
      <w:pPr>
        <w:ind w:left="33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abstractNum w:abstractNumId="4">
    <w:nsid w:val="63FF7F1C"/>
    <w:multiLevelType w:val="hybridMultilevel"/>
    <w:tmpl w:val="4C444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B14E1"/>
    <w:multiLevelType w:val="hybridMultilevel"/>
    <w:tmpl w:val="7BC47424"/>
    <w:lvl w:ilvl="0" w:tplc="0410000B">
      <w:start w:val="1"/>
      <w:numFmt w:val="bullet"/>
      <w:lvlText w:val=""/>
      <w:lvlJc w:val="left"/>
      <w:pPr>
        <w:ind w:left="24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CE"/>
    <w:rsid w:val="00012177"/>
    <w:rsid w:val="0005377A"/>
    <w:rsid w:val="00096759"/>
    <w:rsid w:val="000D7BB0"/>
    <w:rsid w:val="00120729"/>
    <w:rsid w:val="001349DF"/>
    <w:rsid w:val="00142E26"/>
    <w:rsid w:val="0016002C"/>
    <w:rsid w:val="001938A1"/>
    <w:rsid w:val="002031C7"/>
    <w:rsid w:val="0022079D"/>
    <w:rsid w:val="00226F5D"/>
    <w:rsid w:val="002A3E7B"/>
    <w:rsid w:val="003A14D5"/>
    <w:rsid w:val="00431714"/>
    <w:rsid w:val="004A292D"/>
    <w:rsid w:val="004B5428"/>
    <w:rsid w:val="00565C54"/>
    <w:rsid w:val="0056681D"/>
    <w:rsid w:val="00576CC5"/>
    <w:rsid w:val="005B3717"/>
    <w:rsid w:val="006B0B6D"/>
    <w:rsid w:val="00704A22"/>
    <w:rsid w:val="00725D1D"/>
    <w:rsid w:val="007328A7"/>
    <w:rsid w:val="008279B3"/>
    <w:rsid w:val="00863EF9"/>
    <w:rsid w:val="008C61E0"/>
    <w:rsid w:val="00912454"/>
    <w:rsid w:val="009B1BAD"/>
    <w:rsid w:val="009C4EFE"/>
    <w:rsid w:val="009E4D1E"/>
    <w:rsid w:val="00B439C5"/>
    <w:rsid w:val="00C16F2D"/>
    <w:rsid w:val="00C90ECE"/>
    <w:rsid w:val="00CA1DE8"/>
    <w:rsid w:val="00CA4278"/>
    <w:rsid w:val="00D7148E"/>
    <w:rsid w:val="00D80971"/>
    <w:rsid w:val="00E14CD0"/>
    <w:rsid w:val="00E35D48"/>
    <w:rsid w:val="00E378A0"/>
    <w:rsid w:val="00E8379B"/>
    <w:rsid w:val="00F842BE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0D5"/>
  </w:style>
  <w:style w:type="paragraph" w:styleId="Pidipagina">
    <w:name w:val="footer"/>
    <w:basedOn w:val="Normale"/>
    <w:link w:val="PidipaginaCarattere"/>
    <w:uiPriority w:val="99"/>
    <w:unhideWhenUsed/>
    <w:rsid w:val="00FE2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pastorri</dc:creator>
  <cp:lastModifiedBy>pastorri</cp:lastModifiedBy>
  <cp:revision>36</cp:revision>
  <dcterms:created xsi:type="dcterms:W3CDTF">2016-07-27T13:21:00Z</dcterms:created>
  <dcterms:modified xsi:type="dcterms:W3CDTF">2016-07-28T15:21:00Z</dcterms:modified>
</cp:coreProperties>
</file>