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8CE8" w14:textId="7BD77BB9" w:rsidR="001E7914" w:rsidRDefault="001E7914" w:rsidP="001E7914">
      <w:pPr>
        <w:pStyle w:val="PECtext"/>
        <w:spacing w:after="100" w:afterAutospacing="1" w:line="276" w:lineRule="auto"/>
        <w:jc w:val="center"/>
        <w:rPr>
          <w:rFonts w:ascii="Arial" w:eastAsiaTheme="minorHAnsi" w:hAnsi="Arial" w:cs="Arial"/>
          <w:b/>
          <w:bCs/>
          <w:sz w:val="24"/>
          <w:szCs w:val="24"/>
          <w:lang w:val="it-IT" w:bidi="he-IL"/>
        </w:rPr>
      </w:pPr>
      <w:r>
        <w:rPr>
          <w:rFonts w:ascii="Arial" w:eastAsiaTheme="minorHAnsi" w:hAnsi="Arial" w:cs="Arial"/>
          <w:b/>
          <w:bCs/>
          <w:sz w:val="24"/>
          <w:szCs w:val="24"/>
          <w:lang w:val="it-IT" w:bidi="he-IL"/>
        </w:rPr>
        <w:t>SINTESI STAMPA</w:t>
      </w:r>
    </w:p>
    <w:p w14:paraId="4809553E" w14:textId="5E02B264" w:rsidR="001D1F4C" w:rsidRPr="001E7914" w:rsidRDefault="001E7914" w:rsidP="0072653C">
      <w:pPr>
        <w:pStyle w:val="PECtext"/>
        <w:spacing w:after="100" w:afterAutospacing="1" w:line="276" w:lineRule="auto"/>
        <w:rPr>
          <w:rFonts w:ascii="Arial" w:eastAsiaTheme="minorHAnsi" w:hAnsi="Arial" w:cs="Arial"/>
          <w:b/>
          <w:bCs/>
          <w:sz w:val="24"/>
          <w:szCs w:val="24"/>
          <w:lang w:val="it-IT" w:bidi="he-IL"/>
        </w:rPr>
      </w:pPr>
      <w:r w:rsidRPr="001E7914">
        <w:rPr>
          <w:rFonts w:ascii="Arial" w:hAnsi="Arial" w:cs="Arial"/>
          <w:sz w:val="24"/>
          <w:szCs w:val="24"/>
          <w:lang w:val="it-IT" w:bidi="he-IL"/>
        </w:rPr>
        <w:t>“</w:t>
      </w:r>
      <w:r w:rsidRPr="001E7914">
        <w:rPr>
          <w:rFonts w:ascii="Arial" w:hAnsi="Arial" w:cs="Arial"/>
          <w:b/>
          <w:bCs/>
          <w:i/>
          <w:iCs/>
          <w:sz w:val="24"/>
          <w:szCs w:val="24"/>
          <w:lang w:val="it-IT" w:bidi="he-IL"/>
        </w:rPr>
        <w:t>Scenari e valutazioni di impatto economico degli obiettivi Fit for 55 per l’Italia</w:t>
      </w:r>
      <w:r w:rsidRPr="001E7914">
        <w:rPr>
          <w:rFonts w:ascii="Arial" w:hAnsi="Arial" w:cs="Arial"/>
          <w:b/>
          <w:bCs/>
          <w:sz w:val="24"/>
          <w:szCs w:val="24"/>
          <w:lang w:val="it-IT" w:bidi="he-IL"/>
        </w:rPr>
        <w:t>”</w:t>
      </w:r>
    </w:p>
    <w:p w14:paraId="57C28C3E" w14:textId="77777777" w:rsidR="001E7914" w:rsidRDefault="001E7914" w:rsidP="0072653C">
      <w:pPr>
        <w:pStyle w:val="PECtext"/>
        <w:spacing w:after="100" w:afterAutospacing="1" w:line="276" w:lineRule="auto"/>
        <w:rPr>
          <w:rFonts w:ascii="Arial" w:eastAsiaTheme="minorHAnsi" w:hAnsi="Arial" w:cs="Arial"/>
          <w:b/>
          <w:bCs/>
          <w:sz w:val="24"/>
          <w:szCs w:val="24"/>
          <w:lang w:val="it-IT" w:bidi="he-IL"/>
        </w:rPr>
      </w:pPr>
    </w:p>
    <w:p w14:paraId="543A1871" w14:textId="139293F9" w:rsidR="0072653C" w:rsidRPr="0072653C" w:rsidRDefault="0072653C" w:rsidP="0072653C">
      <w:pPr>
        <w:pStyle w:val="PECtext"/>
        <w:spacing w:after="100" w:afterAutospacing="1" w:line="276" w:lineRule="auto"/>
        <w:rPr>
          <w:rFonts w:ascii="Arial" w:hAnsi="Arial" w:cs="Arial"/>
          <w:b/>
          <w:bCs/>
          <w:sz w:val="24"/>
          <w:szCs w:val="24"/>
          <w:lang w:val="it-IT"/>
        </w:rPr>
      </w:pPr>
      <w:r>
        <w:rPr>
          <w:rFonts w:ascii="Arial" w:eastAsiaTheme="minorHAnsi" w:hAnsi="Arial" w:cs="Arial"/>
          <w:b/>
          <w:bCs/>
          <w:sz w:val="24"/>
          <w:szCs w:val="24"/>
          <w:lang w:val="it-IT" w:bidi="he-IL"/>
        </w:rPr>
        <w:t xml:space="preserve">DA </w:t>
      </w:r>
      <w:r w:rsidRPr="0072653C">
        <w:rPr>
          <w:rFonts w:ascii="Arial" w:eastAsiaTheme="minorHAnsi" w:hAnsi="Arial" w:cs="Arial"/>
          <w:b/>
          <w:bCs/>
          <w:sz w:val="24"/>
          <w:szCs w:val="24"/>
          <w:lang w:val="it-IT" w:bidi="he-IL"/>
        </w:rPr>
        <w:t>FIT for 55 OLTRE MILLE MI</w:t>
      </w:r>
      <w:r>
        <w:rPr>
          <w:rFonts w:ascii="Arial" w:eastAsiaTheme="minorHAnsi" w:hAnsi="Arial" w:cs="Arial"/>
          <w:b/>
          <w:bCs/>
          <w:sz w:val="24"/>
          <w:szCs w:val="24"/>
          <w:lang w:val="it-IT" w:bidi="he-IL"/>
        </w:rPr>
        <w:t xml:space="preserve">LIARDI DI INVESTIMENTI, </w:t>
      </w:r>
      <w:r w:rsidR="001D1F4C">
        <w:rPr>
          <w:rFonts w:ascii="Arial" w:eastAsiaTheme="minorHAnsi" w:hAnsi="Arial" w:cs="Arial"/>
          <w:b/>
          <w:bCs/>
          <w:sz w:val="24"/>
          <w:szCs w:val="24"/>
          <w:lang w:val="it-IT" w:bidi="he-IL"/>
        </w:rPr>
        <w:t>SERVE VIS</w:t>
      </w:r>
      <w:r w:rsidR="001E7914">
        <w:rPr>
          <w:rFonts w:ascii="Arial" w:eastAsiaTheme="minorHAnsi" w:hAnsi="Arial" w:cs="Arial"/>
          <w:b/>
          <w:bCs/>
          <w:sz w:val="24"/>
          <w:szCs w:val="24"/>
          <w:lang w:val="it-IT" w:bidi="he-IL"/>
        </w:rPr>
        <w:t>I</w:t>
      </w:r>
      <w:r w:rsidR="001D1F4C">
        <w:rPr>
          <w:rFonts w:ascii="Arial" w:eastAsiaTheme="minorHAnsi" w:hAnsi="Arial" w:cs="Arial"/>
          <w:b/>
          <w:bCs/>
          <w:sz w:val="24"/>
          <w:szCs w:val="24"/>
          <w:lang w:val="it-IT" w:bidi="he-IL"/>
        </w:rPr>
        <w:t xml:space="preserve">ONE STRATEGICA </w:t>
      </w:r>
    </w:p>
    <w:p w14:paraId="08EDEB5B" w14:textId="5504E076" w:rsidR="0072653C" w:rsidRPr="0072653C" w:rsidRDefault="0072653C" w:rsidP="0072653C">
      <w:pPr>
        <w:pStyle w:val="PECtext"/>
        <w:spacing w:after="100" w:afterAutospacing="1" w:line="276" w:lineRule="auto"/>
        <w:rPr>
          <w:rFonts w:ascii="Arial" w:hAnsi="Arial" w:cs="Arial"/>
          <w:b/>
          <w:bCs/>
          <w:sz w:val="24"/>
          <w:szCs w:val="24"/>
          <w:lang w:val="it-IT"/>
        </w:rPr>
      </w:pPr>
      <w:r>
        <w:rPr>
          <w:rFonts w:ascii="Arial" w:hAnsi="Arial" w:cs="Arial"/>
          <w:b/>
          <w:bCs/>
          <w:sz w:val="24"/>
          <w:szCs w:val="24"/>
          <w:lang w:val="it-IT"/>
        </w:rPr>
        <w:t xml:space="preserve">Lo Scenario </w:t>
      </w:r>
      <w:r w:rsidR="001D1F4C">
        <w:rPr>
          <w:rFonts w:ascii="Arial" w:hAnsi="Arial" w:cs="Arial"/>
          <w:b/>
          <w:bCs/>
          <w:sz w:val="24"/>
          <w:szCs w:val="24"/>
          <w:lang w:val="it-IT"/>
        </w:rPr>
        <w:t>presentato da Confindustria:</w:t>
      </w:r>
      <w:r>
        <w:rPr>
          <w:rFonts w:ascii="Arial" w:hAnsi="Arial" w:cs="Arial"/>
          <w:b/>
          <w:bCs/>
          <w:sz w:val="24"/>
          <w:szCs w:val="24"/>
          <w:lang w:val="it-IT"/>
        </w:rPr>
        <w:t xml:space="preserve"> </w:t>
      </w:r>
      <w:r w:rsidR="001D1F4C">
        <w:rPr>
          <w:rFonts w:ascii="Arial" w:hAnsi="Arial" w:cs="Arial"/>
          <w:b/>
          <w:bCs/>
          <w:sz w:val="24"/>
          <w:szCs w:val="24"/>
          <w:lang w:val="it-IT"/>
        </w:rPr>
        <w:t>c</w:t>
      </w:r>
      <w:r>
        <w:rPr>
          <w:rFonts w:ascii="Arial" w:hAnsi="Arial" w:cs="Arial"/>
          <w:b/>
          <w:bCs/>
          <w:sz w:val="24"/>
          <w:szCs w:val="24"/>
          <w:lang w:val="it-IT"/>
        </w:rPr>
        <w:t>oniugare obiettivi di decarbonizzazione e  sviluppo industriale</w:t>
      </w:r>
    </w:p>
    <w:p w14:paraId="2C434354" w14:textId="5BBF4BC3" w:rsidR="002F3E7D" w:rsidRPr="00BD36F4" w:rsidRDefault="001E7914" w:rsidP="007D6FD4">
      <w:pPr>
        <w:spacing w:before="100" w:beforeAutospacing="1" w:after="100" w:afterAutospacing="1" w:line="276" w:lineRule="auto"/>
        <w:jc w:val="both"/>
        <w:rPr>
          <w:rFonts w:ascii="Arial" w:hAnsi="Arial" w:cs="Arial"/>
          <w:sz w:val="24"/>
          <w:szCs w:val="24"/>
          <w:lang w:eastAsia="en-US" w:bidi="he-IL"/>
        </w:rPr>
      </w:pPr>
      <w:r>
        <w:rPr>
          <w:rFonts w:ascii="Arial" w:hAnsi="Arial" w:cs="Arial"/>
          <w:sz w:val="24"/>
          <w:szCs w:val="24"/>
          <w:lang w:eastAsia="en-US" w:bidi="he-IL"/>
        </w:rPr>
        <w:t xml:space="preserve">Roma 21 marzo 2023 - </w:t>
      </w:r>
      <w:r w:rsidR="002F3E7D" w:rsidRPr="00BD36F4">
        <w:rPr>
          <w:rFonts w:ascii="Arial" w:hAnsi="Arial" w:cs="Arial"/>
          <w:sz w:val="24"/>
          <w:szCs w:val="24"/>
          <w:lang w:eastAsia="en-US" w:bidi="he-IL"/>
        </w:rPr>
        <w:t xml:space="preserve">Gli obiettivi delle politiche europee su energia e clima </w:t>
      </w:r>
      <w:r w:rsidR="00BD36F4" w:rsidRPr="00BD36F4">
        <w:rPr>
          <w:rFonts w:ascii="Arial" w:hAnsi="Arial" w:cs="Arial"/>
          <w:sz w:val="24"/>
          <w:szCs w:val="24"/>
          <w:lang w:eastAsia="en-US" w:bidi="he-IL"/>
        </w:rPr>
        <w:t>per raggiungere la neutralità climatica entro il 2050</w:t>
      </w:r>
      <w:r w:rsidR="00BD36F4">
        <w:rPr>
          <w:rFonts w:ascii="Arial" w:hAnsi="Arial" w:cs="Arial"/>
          <w:sz w:val="24"/>
          <w:szCs w:val="24"/>
          <w:lang w:eastAsia="en-US" w:bidi="he-IL"/>
        </w:rPr>
        <w:t xml:space="preserve"> </w:t>
      </w:r>
      <w:r w:rsidR="002F3E7D" w:rsidRPr="00BD36F4">
        <w:rPr>
          <w:rFonts w:ascii="Arial" w:hAnsi="Arial" w:cs="Arial"/>
          <w:sz w:val="24"/>
          <w:szCs w:val="24"/>
          <w:lang w:eastAsia="en-US" w:bidi="he-IL"/>
        </w:rPr>
        <w:t>– Green Deal e Pacchetto “Fit for 55” –, sono destinati a produrre un profondo impatto strutturale sul sistema economico-produttivo europeo ed italiano</w:t>
      </w:r>
      <w:r w:rsidR="00BD36F4">
        <w:rPr>
          <w:rFonts w:ascii="Arial" w:hAnsi="Arial" w:cs="Arial"/>
          <w:sz w:val="24"/>
          <w:szCs w:val="24"/>
          <w:lang w:eastAsia="en-US" w:bidi="he-IL"/>
        </w:rPr>
        <w:t xml:space="preserve">, cambiando </w:t>
      </w:r>
      <w:r w:rsidR="00BD36F4" w:rsidRPr="00BD36F4">
        <w:rPr>
          <w:rFonts w:ascii="Arial" w:hAnsi="Arial" w:cs="Arial"/>
          <w:sz w:val="24"/>
          <w:szCs w:val="24"/>
          <w:lang w:eastAsia="en-US" w:bidi="he-IL"/>
        </w:rPr>
        <w:t>radicalmente</w:t>
      </w:r>
      <w:r w:rsidR="002F3E7D" w:rsidRPr="00BD36F4">
        <w:rPr>
          <w:rFonts w:ascii="Arial" w:hAnsi="Arial" w:cs="Arial"/>
          <w:sz w:val="24"/>
          <w:szCs w:val="24"/>
          <w:lang w:eastAsia="en-US" w:bidi="he-IL"/>
        </w:rPr>
        <w:t xml:space="preserve"> le modalità con le quali si produce e si consuma l’energia. </w:t>
      </w:r>
    </w:p>
    <w:p w14:paraId="39CE78A4" w14:textId="08D937B7" w:rsidR="002F3E7D" w:rsidRPr="00BD36F4" w:rsidRDefault="002F3E7D" w:rsidP="007D6FD4">
      <w:pPr>
        <w:spacing w:before="100" w:beforeAutospacing="1" w:after="100" w:afterAutospacing="1" w:line="276" w:lineRule="auto"/>
        <w:jc w:val="both"/>
        <w:rPr>
          <w:rFonts w:ascii="Arial" w:hAnsi="Arial" w:cs="Arial"/>
          <w:sz w:val="24"/>
          <w:szCs w:val="24"/>
        </w:rPr>
      </w:pPr>
      <w:r w:rsidRPr="00BD36F4">
        <w:rPr>
          <w:rFonts w:ascii="Arial" w:hAnsi="Arial" w:cs="Arial"/>
          <w:sz w:val="24"/>
          <w:szCs w:val="24"/>
          <w:lang w:eastAsia="en-US" w:bidi="he-IL"/>
        </w:rPr>
        <w:t>Confindustria, con il contributo delle Associazioni del Sistema e in collaborazione con RSE (Ricerca Sistema Energetico), ha elaborato lo studio “</w:t>
      </w:r>
      <w:r w:rsidRPr="0072653C">
        <w:rPr>
          <w:rFonts w:ascii="Arial" w:hAnsi="Arial" w:cs="Arial"/>
          <w:b/>
          <w:bCs/>
          <w:i/>
          <w:iCs/>
          <w:sz w:val="24"/>
          <w:szCs w:val="24"/>
          <w:lang w:eastAsia="en-US" w:bidi="he-IL"/>
        </w:rPr>
        <w:t>Scenari e valutazioni di impatto economico degli obiettivi Fit for 55 per l’Italia</w:t>
      </w:r>
      <w:r w:rsidRPr="0072653C">
        <w:rPr>
          <w:rFonts w:ascii="Arial" w:hAnsi="Arial" w:cs="Arial"/>
          <w:b/>
          <w:bCs/>
          <w:sz w:val="24"/>
          <w:szCs w:val="24"/>
          <w:lang w:eastAsia="en-US" w:bidi="he-IL"/>
        </w:rPr>
        <w:t>”</w:t>
      </w:r>
      <w:r w:rsidRPr="00BD36F4">
        <w:rPr>
          <w:rFonts w:ascii="Arial" w:hAnsi="Arial" w:cs="Arial"/>
          <w:sz w:val="24"/>
          <w:szCs w:val="24"/>
          <w:lang w:eastAsia="en-US" w:bidi="he-IL"/>
        </w:rPr>
        <w:t xml:space="preserve"> che intende </w:t>
      </w:r>
      <w:r w:rsidRPr="00BD36F4">
        <w:rPr>
          <w:rFonts w:ascii="Arial" w:hAnsi="Arial" w:cs="Arial"/>
          <w:sz w:val="24"/>
          <w:szCs w:val="24"/>
        </w:rPr>
        <w:t>fornire un contributo alla costruzione del nuovo piano energetico che il nostro Paese dovrà adottare per raggiungere gli obiettivi di decarbonizzazione al 2030. Il nuovo scenario costituisce, inoltre, la base con la quale dovrà essere aggiornato e redatto il Piano Nazionale Integrato Energia e Clima (PNIEC), che tutti gli Stati Membri dovranno sottoporre a Bruxelles entro il 31/12/2023.</w:t>
      </w:r>
    </w:p>
    <w:p w14:paraId="59D1C045" w14:textId="74A4D36D" w:rsidR="007D6FD4" w:rsidRPr="00BD36F4" w:rsidRDefault="002F3E7D" w:rsidP="007D6FD4">
      <w:pPr>
        <w:spacing w:before="100" w:beforeAutospacing="1" w:after="100" w:afterAutospacing="1" w:line="276" w:lineRule="auto"/>
        <w:jc w:val="both"/>
        <w:rPr>
          <w:rFonts w:ascii="Arial" w:hAnsi="Arial" w:cs="Arial"/>
          <w:sz w:val="24"/>
          <w:szCs w:val="24"/>
        </w:rPr>
      </w:pPr>
      <w:r w:rsidRPr="002F3E7D">
        <w:rPr>
          <w:rFonts w:ascii="Arial" w:hAnsi="Arial" w:cs="Arial"/>
          <w:sz w:val="24"/>
          <w:szCs w:val="24"/>
          <w:lang w:eastAsia="en-US" w:bidi="he-IL"/>
        </w:rPr>
        <w:t xml:space="preserve">L’analisi fornisce una prima valutazione della proposta “Fit for 55” </w:t>
      </w:r>
      <w:r w:rsidR="00587C1F" w:rsidRPr="00BD36F4">
        <w:rPr>
          <w:rFonts w:ascii="Arial" w:hAnsi="Arial" w:cs="Arial"/>
          <w:sz w:val="24"/>
          <w:szCs w:val="24"/>
          <w:lang w:eastAsia="en-US" w:bidi="he-IL"/>
        </w:rPr>
        <w:t xml:space="preserve">con l’obiettivo di valutare </w:t>
      </w:r>
      <w:r w:rsidR="00587C1F" w:rsidRPr="00BD36F4">
        <w:rPr>
          <w:rFonts w:ascii="Arial" w:hAnsi="Arial" w:cs="Arial"/>
          <w:sz w:val="24"/>
          <w:szCs w:val="24"/>
        </w:rPr>
        <w:t>un percorso di decarbonizzazione alternativo</w:t>
      </w:r>
      <w:r w:rsidR="00587C1F" w:rsidRPr="002F3E7D">
        <w:rPr>
          <w:rFonts w:ascii="Arial" w:hAnsi="Arial" w:cs="Arial"/>
          <w:sz w:val="24"/>
          <w:szCs w:val="24"/>
        </w:rPr>
        <w:t xml:space="preserve"> </w:t>
      </w:r>
      <w:r w:rsidR="00587C1F" w:rsidRPr="00BD36F4">
        <w:rPr>
          <w:rFonts w:ascii="Arial" w:hAnsi="Arial" w:cs="Arial"/>
          <w:sz w:val="24"/>
          <w:szCs w:val="24"/>
        </w:rPr>
        <w:t>che, pur raggiungendo la stessa riduzione di emissioni di gas serra, attraverso un uso efficiente delle risorse economiche</w:t>
      </w:r>
      <w:r w:rsidR="00587C1F" w:rsidRPr="0072653C">
        <w:rPr>
          <w:rFonts w:ascii="Arial" w:hAnsi="Arial" w:cs="Arial"/>
          <w:b/>
          <w:bCs/>
          <w:sz w:val="24"/>
          <w:szCs w:val="24"/>
        </w:rPr>
        <w:t>, possa favorire lo sviluppo del tessuto industriale, tutelare la competitività internazionale delle imprese italiane</w:t>
      </w:r>
      <w:r w:rsidR="00587C1F" w:rsidRPr="00BD36F4">
        <w:rPr>
          <w:rFonts w:ascii="Arial" w:hAnsi="Arial" w:cs="Arial"/>
          <w:sz w:val="24"/>
          <w:szCs w:val="24"/>
        </w:rPr>
        <w:t>, nonché contenere ulteriormente il costo sociale della transizione</w:t>
      </w:r>
      <w:r w:rsidR="007207BB" w:rsidRPr="00BD36F4">
        <w:rPr>
          <w:rFonts w:ascii="Arial" w:hAnsi="Arial" w:cs="Arial"/>
          <w:sz w:val="24"/>
          <w:szCs w:val="24"/>
        </w:rPr>
        <w:t>.</w:t>
      </w:r>
    </w:p>
    <w:p w14:paraId="438F3BA7" w14:textId="0AEEC009" w:rsidR="00BD36F4" w:rsidRPr="00BD36F4" w:rsidRDefault="007207BB" w:rsidP="007D6FD4">
      <w:pPr>
        <w:spacing w:before="100" w:beforeAutospacing="1" w:after="100" w:afterAutospacing="1" w:line="276" w:lineRule="auto"/>
        <w:jc w:val="both"/>
        <w:rPr>
          <w:rFonts w:ascii="Arial" w:hAnsi="Arial" w:cs="Arial"/>
          <w:sz w:val="24"/>
          <w:szCs w:val="24"/>
        </w:rPr>
      </w:pPr>
      <w:r w:rsidRPr="00BD36F4">
        <w:rPr>
          <w:rFonts w:ascii="Arial" w:hAnsi="Arial" w:cs="Arial"/>
          <w:sz w:val="24"/>
          <w:szCs w:val="24"/>
        </w:rPr>
        <w:t>Nell</w:t>
      </w:r>
      <w:r w:rsidR="00E24699" w:rsidRPr="00BD36F4">
        <w:rPr>
          <w:rFonts w:ascii="Arial" w:hAnsi="Arial" w:cs="Arial"/>
          <w:sz w:val="24"/>
          <w:szCs w:val="24"/>
        </w:rPr>
        <w:t>o scenario Confindustria</w:t>
      </w:r>
      <w:r w:rsidR="00BD36F4" w:rsidRPr="00BD36F4">
        <w:rPr>
          <w:rFonts w:ascii="Arial" w:hAnsi="Arial" w:cs="Arial"/>
          <w:sz w:val="24"/>
          <w:szCs w:val="24"/>
        </w:rPr>
        <w:t>, l’introduzione del singolo vincolo sulle emissioni porta ad una configurazione al 2030 con obiettivi meno sfidanti in termini di efficienza energetica e a un maggiore sviluppo delle fonti energetiche rinnovabili rispetto al percorso tracciato per lo scenario FF55.</w:t>
      </w:r>
    </w:p>
    <w:p w14:paraId="3A3B7E83" w14:textId="4D3CBD9F" w:rsidR="00E24699" w:rsidRPr="00BD36F4" w:rsidRDefault="00BD36F4" w:rsidP="007D6FD4">
      <w:pPr>
        <w:spacing w:before="100" w:beforeAutospacing="1" w:after="100" w:afterAutospacing="1" w:line="276" w:lineRule="auto"/>
        <w:jc w:val="both"/>
        <w:rPr>
          <w:rFonts w:ascii="Arial" w:hAnsi="Arial" w:cs="Arial"/>
          <w:sz w:val="24"/>
          <w:szCs w:val="24"/>
        </w:rPr>
      </w:pPr>
      <w:r w:rsidRPr="00BD36F4">
        <w:rPr>
          <w:rFonts w:ascii="Arial" w:hAnsi="Arial" w:cs="Arial"/>
          <w:sz w:val="24"/>
          <w:szCs w:val="24"/>
        </w:rPr>
        <w:t>L</w:t>
      </w:r>
      <w:r w:rsidR="00E24699" w:rsidRPr="00BD36F4">
        <w:rPr>
          <w:rFonts w:ascii="Arial" w:hAnsi="Arial" w:cs="Arial"/>
          <w:sz w:val="24"/>
          <w:szCs w:val="24"/>
        </w:rPr>
        <w:t>a realizzazione degli investimenti</w:t>
      </w:r>
      <w:r w:rsidR="00DB3621">
        <w:rPr>
          <w:rFonts w:ascii="Arial" w:hAnsi="Arial" w:cs="Arial"/>
          <w:sz w:val="24"/>
          <w:szCs w:val="24"/>
        </w:rPr>
        <w:t xml:space="preserve"> </w:t>
      </w:r>
      <w:r w:rsidR="00E24699" w:rsidRPr="00BD36F4">
        <w:rPr>
          <w:rFonts w:ascii="Arial" w:hAnsi="Arial" w:cs="Arial"/>
          <w:sz w:val="24"/>
          <w:szCs w:val="24"/>
        </w:rPr>
        <w:t xml:space="preserve"> volti a sostenere la domanda e gli incentivi promossi al fine di rilanciare l’offerta di tecnologie ammonterebbe </w:t>
      </w:r>
      <w:r w:rsidR="00E24699" w:rsidRPr="0072653C">
        <w:rPr>
          <w:rFonts w:ascii="Arial" w:hAnsi="Arial" w:cs="Arial"/>
          <w:b/>
          <w:bCs/>
          <w:sz w:val="24"/>
          <w:szCs w:val="24"/>
        </w:rPr>
        <w:t>a 1.120,7 miliardi di euro</w:t>
      </w:r>
      <w:r w:rsidR="00E24699" w:rsidRPr="00BD36F4">
        <w:rPr>
          <w:rFonts w:ascii="Arial" w:hAnsi="Arial" w:cs="Arial"/>
          <w:sz w:val="24"/>
          <w:szCs w:val="24"/>
        </w:rPr>
        <w:t xml:space="preserve">, </w:t>
      </w:r>
      <w:r w:rsidR="00E24699" w:rsidRPr="0072653C">
        <w:rPr>
          <w:rFonts w:ascii="Arial" w:hAnsi="Arial" w:cs="Arial"/>
          <w:b/>
          <w:bCs/>
          <w:sz w:val="24"/>
          <w:szCs w:val="24"/>
        </w:rPr>
        <w:t>con un incremento del</w:t>
      </w:r>
      <w:r w:rsidR="008E7E39">
        <w:rPr>
          <w:rFonts w:ascii="Arial" w:hAnsi="Arial" w:cs="Arial"/>
          <w:b/>
          <w:bCs/>
          <w:sz w:val="24"/>
          <w:szCs w:val="24"/>
        </w:rPr>
        <w:t xml:space="preserve">la produzione </w:t>
      </w:r>
      <w:r w:rsidR="00E24699" w:rsidRPr="0072653C">
        <w:rPr>
          <w:rFonts w:ascii="Arial" w:hAnsi="Arial" w:cs="Arial"/>
          <w:b/>
          <w:bCs/>
          <w:sz w:val="24"/>
          <w:szCs w:val="24"/>
        </w:rPr>
        <w:t>pari a 1.976,1 miliardi di euro (+4,7% medio annuo, 1.645,3 miliardi al netto dei beni intermedi importati), un’occupazione più elevata di 11,5 milioni di ULA (+3,1%) e un incremento di valore aggiunto di 689,1 miliardi di euro (+3,7% medio annuo).</w:t>
      </w:r>
      <w:r w:rsidR="00E7285C" w:rsidRPr="00BD36F4">
        <w:rPr>
          <w:rFonts w:ascii="Arial" w:hAnsi="Arial" w:cs="Arial"/>
          <w:sz w:val="24"/>
          <w:szCs w:val="24"/>
        </w:rPr>
        <w:t xml:space="preserve"> Si tratta di un flusso </w:t>
      </w:r>
      <w:r w:rsidR="00E7285C" w:rsidRPr="0072653C">
        <w:rPr>
          <w:rFonts w:ascii="Arial" w:hAnsi="Arial" w:cs="Arial"/>
          <w:b/>
          <w:bCs/>
          <w:sz w:val="24"/>
          <w:szCs w:val="24"/>
        </w:rPr>
        <w:t>di investimenti senza precedenti</w:t>
      </w:r>
      <w:r w:rsidR="00E7285C" w:rsidRPr="00BD36F4">
        <w:rPr>
          <w:rFonts w:ascii="Arial" w:hAnsi="Arial" w:cs="Arial"/>
          <w:sz w:val="24"/>
          <w:szCs w:val="24"/>
        </w:rPr>
        <w:t xml:space="preserve">, che </w:t>
      </w:r>
      <w:r w:rsidR="00E7285C" w:rsidRPr="001D1F4C">
        <w:rPr>
          <w:rFonts w:ascii="Arial" w:hAnsi="Arial" w:cs="Arial"/>
          <w:b/>
          <w:bCs/>
          <w:sz w:val="24"/>
          <w:szCs w:val="24"/>
        </w:rPr>
        <w:t>richiede una visione strategica di Sistema Paese</w:t>
      </w:r>
      <w:r>
        <w:rPr>
          <w:rFonts w:ascii="Arial" w:hAnsi="Arial" w:cs="Arial"/>
          <w:sz w:val="24"/>
          <w:szCs w:val="24"/>
        </w:rPr>
        <w:t>,</w:t>
      </w:r>
      <w:r w:rsidR="00E7285C" w:rsidRPr="00BD36F4">
        <w:rPr>
          <w:rFonts w:ascii="Arial" w:hAnsi="Arial" w:cs="Arial"/>
          <w:sz w:val="24"/>
          <w:szCs w:val="24"/>
        </w:rPr>
        <w:t xml:space="preserve"> in grado di garantire che una parte </w:t>
      </w:r>
      <w:r w:rsidR="00E7285C" w:rsidRPr="00BD36F4">
        <w:rPr>
          <w:rFonts w:ascii="Arial" w:hAnsi="Arial" w:cs="Arial"/>
          <w:sz w:val="24"/>
          <w:szCs w:val="24"/>
        </w:rPr>
        <w:lastRenderedPageBreak/>
        <w:t>importante di questi possa tradursi in un volano di sviluppo della capacità produttiva manifatturiera italiana.</w:t>
      </w:r>
    </w:p>
    <w:p w14:paraId="7D4EFBD2" w14:textId="24877F56" w:rsidR="00E24699" w:rsidRPr="00BD36F4" w:rsidRDefault="00E24699" w:rsidP="007D6FD4">
      <w:pPr>
        <w:autoSpaceDE w:val="0"/>
        <w:autoSpaceDN w:val="0"/>
        <w:adjustRightInd w:val="0"/>
        <w:spacing w:after="100" w:afterAutospacing="1" w:line="276" w:lineRule="auto"/>
        <w:jc w:val="both"/>
        <w:rPr>
          <w:rFonts w:ascii="Arial" w:hAnsi="Arial" w:cs="Arial"/>
          <w:sz w:val="24"/>
          <w:szCs w:val="24"/>
        </w:rPr>
      </w:pPr>
      <w:r w:rsidRPr="00BD36F4">
        <w:rPr>
          <w:rFonts w:ascii="Arial" w:hAnsi="Arial" w:cs="Arial"/>
          <w:sz w:val="24"/>
          <w:szCs w:val="24"/>
        </w:rPr>
        <w:t>Sul piano macroeconomico, sono stati inoltre stimati gli effetti complessivi sul bilancio statale nel periodo considerato</w:t>
      </w:r>
      <w:r w:rsidR="00E7285C" w:rsidRPr="00BD36F4">
        <w:rPr>
          <w:rFonts w:ascii="Arial" w:hAnsi="Arial" w:cs="Arial"/>
          <w:sz w:val="24"/>
          <w:szCs w:val="24"/>
        </w:rPr>
        <w:t xml:space="preserve">. </w:t>
      </w:r>
      <w:r w:rsidRPr="00BD36F4">
        <w:rPr>
          <w:rFonts w:ascii="Arial" w:hAnsi="Arial" w:cs="Arial"/>
          <w:sz w:val="24"/>
          <w:szCs w:val="24"/>
        </w:rPr>
        <w:t>L’effetto netto positivo in termini di entrate per lo Stato e in termini di costi evitati è di circa 595 Mld/€. L’effetto netto potenziale determina un costo degli investimenti diretti complessivi pari a circa 527 Mld/€.</w:t>
      </w:r>
    </w:p>
    <w:p w14:paraId="622344DC" w14:textId="54CA5054" w:rsidR="00BD36F4" w:rsidRDefault="00BD36F4" w:rsidP="00BD36F4">
      <w:pPr>
        <w:pStyle w:val="PECtext"/>
        <w:rPr>
          <w:rFonts w:ascii="Arial" w:eastAsia="Calibri" w:hAnsi="Arial" w:cs="Arial"/>
          <w:sz w:val="24"/>
          <w:szCs w:val="24"/>
          <w:lang w:val="it-IT"/>
        </w:rPr>
      </w:pPr>
      <w:r w:rsidRPr="00BD36F4">
        <w:rPr>
          <w:rFonts w:ascii="Arial" w:eastAsia="Calibri" w:hAnsi="Arial" w:cs="Arial"/>
          <w:sz w:val="24"/>
          <w:szCs w:val="24"/>
          <w:lang w:val="it-IT"/>
        </w:rPr>
        <w:t>La dimensione degli investimenti</w:t>
      </w:r>
      <w:r w:rsidRPr="00BD36F4">
        <w:rPr>
          <w:rFonts w:ascii="Arial" w:eastAsia="Calibri" w:hAnsi="Arial" w:cs="Arial"/>
          <w:b/>
          <w:bCs/>
          <w:sz w:val="24"/>
          <w:szCs w:val="24"/>
          <w:lang w:val="it-IT"/>
        </w:rPr>
        <w:t xml:space="preserve"> </w:t>
      </w:r>
      <w:r w:rsidRPr="00BD36F4">
        <w:rPr>
          <w:rFonts w:ascii="Arial" w:eastAsia="Calibri" w:hAnsi="Arial" w:cs="Arial"/>
          <w:sz w:val="24"/>
          <w:szCs w:val="24"/>
          <w:lang w:val="it-IT"/>
        </w:rPr>
        <w:t xml:space="preserve">in gioco è sicuramente un fattore di preoccupazione ma rappresenta anche un volano di crescita industriale </w:t>
      </w:r>
      <w:r>
        <w:rPr>
          <w:rFonts w:ascii="Arial" w:eastAsia="Calibri" w:hAnsi="Arial" w:cs="Arial"/>
          <w:sz w:val="24"/>
          <w:szCs w:val="24"/>
          <w:lang w:val="it-IT"/>
        </w:rPr>
        <w:t xml:space="preserve">per </w:t>
      </w:r>
      <w:r w:rsidRPr="00BD36F4">
        <w:rPr>
          <w:rFonts w:ascii="Arial" w:eastAsia="Calibri" w:hAnsi="Arial" w:cs="Arial"/>
          <w:sz w:val="24"/>
          <w:szCs w:val="24"/>
          <w:lang w:val="it-IT"/>
        </w:rPr>
        <w:t xml:space="preserve">l’Italia: per questa ragione, a breve sarà completata la seconda parte del Rapporto, con la quale </w:t>
      </w:r>
      <w:r w:rsidRPr="00BD36F4">
        <w:rPr>
          <w:rFonts w:ascii="Arial" w:hAnsi="Arial" w:cs="Arial"/>
          <w:sz w:val="24"/>
          <w:szCs w:val="24"/>
          <w:lang w:val="it-IT"/>
        </w:rPr>
        <w:t>verrà presentata la</w:t>
      </w:r>
      <w:r w:rsidRPr="00BD36F4">
        <w:rPr>
          <w:rFonts w:ascii="Arial" w:eastAsia="Calibri" w:hAnsi="Arial" w:cs="Arial"/>
          <w:sz w:val="24"/>
          <w:szCs w:val="24"/>
          <w:lang w:val="it-IT"/>
        </w:rPr>
        <w:t xml:space="preserve"> mappatura delle filiere</w:t>
      </w:r>
      <w:r w:rsidRPr="00BD36F4">
        <w:rPr>
          <w:rFonts w:ascii="Arial" w:eastAsia="Calibri" w:hAnsi="Arial" w:cs="Arial"/>
          <w:b/>
          <w:bCs/>
          <w:sz w:val="24"/>
          <w:szCs w:val="24"/>
          <w:lang w:val="it-IT"/>
        </w:rPr>
        <w:t xml:space="preserve"> </w:t>
      </w:r>
      <w:r w:rsidRPr="00BD36F4">
        <w:rPr>
          <w:rFonts w:ascii="Arial" w:eastAsia="Calibri" w:hAnsi="Arial" w:cs="Arial"/>
          <w:sz w:val="24"/>
          <w:szCs w:val="24"/>
          <w:lang w:val="it-IT"/>
        </w:rPr>
        <w:t>tecnologiche italiane più direttamente coinvolte, con l’obiettivo di integrare le politiche per la transizione energetica con una valutazione dei possibili impatti in termini di politica industriale.</w:t>
      </w:r>
    </w:p>
    <w:p w14:paraId="70789435" w14:textId="26F42A92" w:rsidR="001E7914" w:rsidRPr="001E7914" w:rsidRDefault="001E7914" w:rsidP="00BD36F4">
      <w:pPr>
        <w:pStyle w:val="PECtext"/>
        <w:rPr>
          <w:rFonts w:ascii="Arial" w:hAnsi="Arial" w:cs="Arial"/>
          <w:b/>
          <w:bCs/>
          <w:sz w:val="24"/>
          <w:szCs w:val="24"/>
          <w:u w:val="single"/>
          <w:lang w:val="it-IT"/>
        </w:rPr>
      </w:pPr>
    </w:p>
    <w:p w14:paraId="62EA9CB2" w14:textId="09E509B2" w:rsidR="00337246" w:rsidRPr="00BD36F4" w:rsidRDefault="00337246" w:rsidP="007D6FD4">
      <w:pPr>
        <w:pStyle w:val="PECtext"/>
        <w:spacing w:after="100" w:afterAutospacing="1" w:line="276" w:lineRule="auto"/>
        <w:jc w:val="both"/>
        <w:rPr>
          <w:rFonts w:ascii="Arial" w:eastAsiaTheme="minorHAnsi" w:hAnsi="Arial" w:cs="Arial"/>
          <w:sz w:val="24"/>
          <w:szCs w:val="24"/>
          <w:lang w:val="it-IT" w:eastAsia="it-IT"/>
        </w:rPr>
      </w:pPr>
    </w:p>
    <w:sectPr w:rsidR="00337246" w:rsidRPr="00BD36F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9653" w14:textId="77777777" w:rsidR="003222BB" w:rsidRDefault="003222BB" w:rsidP="00BF6982">
      <w:r>
        <w:separator/>
      </w:r>
    </w:p>
  </w:endnote>
  <w:endnote w:type="continuationSeparator" w:id="0">
    <w:p w14:paraId="5936B4B4" w14:textId="77777777" w:rsidR="003222BB" w:rsidRDefault="003222BB" w:rsidP="00BF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Neue-Bold">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81337"/>
      <w:docPartObj>
        <w:docPartGallery w:val="Page Numbers (Bottom of Page)"/>
        <w:docPartUnique/>
      </w:docPartObj>
    </w:sdtPr>
    <w:sdtContent>
      <w:p w14:paraId="0407D597" w14:textId="34C0BE60" w:rsidR="00D74D2F" w:rsidRDefault="00D74D2F">
        <w:pPr>
          <w:pStyle w:val="Pidipagina"/>
          <w:jc w:val="right"/>
        </w:pPr>
        <w:r>
          <w:fldChar w:fldCharType="begin"/>
        </w:r>
        <w:r>
          <w:instrText>PAGE   \* MERGEFORMAT</w:instrText>
        </w:r>
        <w:r>
          <w:fldChar w:fldCharType="separate"/>
        </w:r>
        <w:r>
          <w:t>2</w:t>
        </w:r>
        <w:r>
          <w:fldChar w:fldCharType="end"/>
        </w:r>
      </w:p>
    </w:sdtContent>
  </w:sdt>
  <w:p w14:paraId="40C2A035" w14:textId="77777777" w:rsidR="00D74D2F" w:rsidRDefault="00D74D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A4F3" w14:textId="77777777" w:rsidR="003222BB" w:rsidRDefault="003222BB" w:rsidP="00BF6982">
      <w:r>
        <w:separator/>
      </w:r>
    </w:p>
  </w:footnote>
  <w:footnote w:type="continuationSeparator" w:id="0">
    <w:p w14:paraId="38ECFA3B" w14:textId="77777777" w:rsidR="003222BB" w:rsidRDefault="003222BB" w:rsidP="00BF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7D"/>
    <w:multiLevelType w:val="hybridMultilevel"/>
    <w:tmpl w:val="567C56AA"/>
    <w:lvl w:ilvl="0" w:tplc="0B18FE1E">
      <w:start w:val="25"/>
      <w:numFmt w:val="bullet"/>
      <w:lvlText w:val="-"/>
      <w:lvlJc w:val="left"/>
      <w:pPr>
        <w:ind w:left="720" w:hanging="360"/>
      </w:pPr>
      <w:rPr>
        <w:rFonts w:ascii="Verdana" w:eastAsia="Times New Roman" w:hAnsi="Verdana"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506B2"/>
    <w:multiLevelType w:val="hybridMultilevel"/>
    <w:tmpl w:val="C4F80EF8"/>
    <w:lvl w:ilvl="0" w:tplc="F8F8D9D2">
      <w:start w:val="1"/>
      <w:numFmt w:val="decimal"/>
      <w:lvlText w:val="(%1)"/>
      <w:lvlJc w:val="left"/>
      <w:pPr>
        <w:ind w:left="2770" w:hanging="360"/>
      </w:pPr>
    </w:lvl>
    <w:lvl w:ilvl="1" w:tplc="04100019">
      <w:start w:val="1"/>
      <w:numFmt w:val="lowerLetter"/>
      <w:lvlText w:val="%2."/>
      <w:lvlJc w:val="left"/>
      <w:pPr>
        <w:ind w:left="3490" w:hanging="360"/>
      </w:pPr>
    </w:lvl>
    <w:lvl w:ilvl="2" w:tplc="0410001B">
      <w:start w:val="1"/>
      <w:numFmt w:val="lowerRoman"/>
      <w:lvlText w:val="%3."/>
      <w:lvlJc w:val="right"/>
      <w:pPr>
        <w:ind w:left="4210" w:hanging="180"/>
      </w:pPr>
    </w:lvl>
    <w:lvl w:ilvl="3" w:tplc="0410000F">
      <w:start w:val="1"/>
      <w:numFmt w:val="decimal"/>
      <w:lvlText w:val="%4."/>
      <w:lvlJc w:val="left"/>
      <w:pPr>
        <w:ind w:left="4930" w:hanging="360"/>
      </w:pPr>
    </w:lvl>
    <w:lvl w:ilvl="4" w:tplc="04100019">
      <w:start w:val="1"/>
      <w:numFmt w:val="lowerLetter"/>
      <w:lvlText w:val="%5."/>
      <w:lvlJc w:val="left"/>
      <w:pPr>
        <w:ind w:left="5650" w:hanging="360"/>
      </w:pPr>
    </w:lvl>
    <w:lvl w:ilvl="5" w:tplc="0410001B">
      <w:start w:val="1"/>
      <w:numFmt w:val="lowerRoman"/>
      <w:lvlText w:val="%6."/>
      <w:lvlJc w:val="right"/>
      <w:pPr>
        <w:ind w:left="6370" w:hanging="180"/>
      </w:pPr>
    </w:lvl>
    <w:lvl w:ilvl="6" w:tplc="0410000F">
      <w:start w:val="1"/>
      <w:numFmt w:val="decimal"/>
      <w:lvlText w:val="%7."/>
      <w:lvlJc w:val="left"/>
      <w:pPr>
        <w:ind w:left="7090" w:hanging="360"/>
      </w:pPr>
    </w:lvl>
    <w:lvl w:ilvl="7" w:tplc="04100019">
      <w:start w:val="1"/>
      <w:numFmt w:val="lowerLetter"/>
      <w:lvlText w:val="%8."/>
      <w:lvlJc w:val="left"/>
      <w:pPr>
        <w:ind w:left="7810" w:hanging="360"/>
      </w:pPr>
    </w:lvl>
    <w:lvl w:ilvl="8" w:tplc="0410001B">
      <w:start w:val="1"/>
      <w:numFmt w:val="lowerRoman"/>
      <w:lvlText w:val="%9."/>
      <w:lvlJc w:val="right"/>
      <w:pPr>
        <w:ind w:left="8530" w:hanging="180"/>
      </w:pPr>
    </w:lvl>
  </w:abstractNum>
  <w:abstractNum w:abstractNumId="2" w15:restartNumberingAfterBreak="0">
    <w:nsid w:val="20D83CD5"/>
    <w:multiLevelType w:val="multilevel"/>
    <w:tmpl w:val="DA4E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E0826"/>
    <w:multiLevelType w:val="hybridMultilevel"/>
    <w:tmpl w:val="B0B6DE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1690BBE"/>
    <w:multiLevelType w:val="hybridMultilevel"/>
    <w:tmpl w:val="F0C67DF2"/>
    <w:lvl w:ilvl="0" w:tplc="954E544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927AF8"/>
    <w:multiLevelType w:val="hybridMultilevel"/>
    <w:tmpl w:val="736441C2"/>
    <w:lvl w:ilvl="0" w:tplc="CC76810E">
      <w:numFmt w:val="bullet"/>
      <w:lvlText w:val="-"/>
      <w:lvlJc w:val="left"/>
      <w:pPr>
        <w:ind w:left="1068" w:hanging="360"/>
      </w:pPr>
      <w:rPr>
        <w:rFonts w:ascii="Calibri" w:eastAsiaTheme="minorHAnsi" w:hAnsi="Calibri" w:cs="Calibri"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5EB108A5"/>
    <w:multiLevelType w:val="multilevel"/>
    <w:tmpl w:val="864E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A4D46"/>
    <w:multiLevelType w:val="multilevel"/>
    <w:tmpl w:val="32FC48D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7275560C"/>
    <w:multiLevelType w:val="hybridMultilevel"/>
    <w:tmpl w:val="11A43E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40117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0309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158335">
    <w:abstractNumId w:val="2"/>
  </w:num>
  <w:num w:numId="4" w16cid:durableId="1058628697">
    <w:abstractNumId w:val="6"/>
  </w:num>
  <w:num w:numId="5" w16cid:durableId="102648882">
    <w:abstractNumId w:val="0"/>
  </w:num>
  <w:num w:numId="6" w16cid:durableId="1370380149">
    <w:abstractNumId w:val="4"/>
  </w:num>
  <w:num w:numId="7" w16cid:durableId="1525168043">
    <w:abstractNumId w:val="3"/>
  </w:num>
  <w:num w:numId="8" w16cid:durableId="147015955">
    <w:abstractNumId w:val="8"/>
  </w:num>
  <w:num w:numId="9" w16cid:durableId="72168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0"/>
    <w:rsid w:val="00064A34"/>
    <w:rsid w:val="00094831"/>
    <w:rsid w:val="000B184A"/>
    <w:rsid w:val="000B4768"/>
    <w:rsid w:val="000D59C6"/>
    <w:rsid w:val="001031B3"/>
    <w:rsid w:val="001931BA"/>
    <w:rsid w:val="001D1F4C"/>
    <w:rsid w:val="001E7914"/>
    <w:rsid w:val="001F02CC"/>
    <w:rsid w:val="002220B0"/>
    <w:rsid w:val="0024717F"/>
    <w:rsid w:val="002C1A1F"/>
    <w:rsid w:val="002F3E7D"/>
    <w:rsid w:val="003222BB"/>
    <w:rsid w:val="00337246"/>
    <w:rsid w:val="003A1150"/>
    <w:rsid w:val="00411982"/>
    <w:rsid w:val="004C468C"/>
    <w:rsid w:val="005151A1"/>
    <w:rsid w:val="00523DE6"/>
    <w:rsid w:val="00562AA0"/>
    <w:rsid w:val="00581F31"/>
    <w:rsid w:val="00587C1F"/>
    <w:rsid w:val="00590BE7"/>
    <w:rsid w:val="00594441"/>
    <w:rsid w:val="00647D90"/>
    <w:rsid w:val="00657C96"/>
    <w:rsid w:val="0067421C"/>
    <w:rsid w:val="006927C2"/>
    <w:rsid w:val="006B3AD5"/>
    <w:rsid w:val="006D70CF"/>
    <w:rsid w:val="00704995"/>
    <w:rsid w:val="00710FE5"/>
    <w:rsid w:val="007207BB"/>
    <w:rsid w:val="0072653C"/>
    <w:rsid w:val="00732AA6"/>
    <w:rsid w:val="00765AF1"/>
    <w:rsid w:val="00784C0E"/>
    <w:rsid w:val="007D6FD4"/>
    <w:rsid w:val="007E19A1"/>
    <w:rsid w:val="008962DC"/>
    <w:rsid w:val="008C2AB4"/>
    <w:rsid w:val="008E7E39"/>
    <w:rsid w:val="008F55ED"/>
    <w:rsid w:val="00916369"/>
    <w:rsid w:val="00945B7A"/>
    <w:rsid w:val="009931DF"/>
    <w:rsid w:val="009A0492"/>
    <w:rsid w:val="00A47A6B"/>
    <w:rsid w:val="00A76C95"/>
    <w:rsid w:val="00A918AA"/>
    <w:rsid w:val="00A97AA5"/>
    <w:rsid w:val="00AD471F"/>
    <w:rsid w:val="00AD6D3A"/>
    <w:rsid w:val="00AE6415"/>
    <w:rsid w:val="00AF7627"/>
    <w:rsid w:val="00B016F0"/>
    <w:rsid w:val="00B0669D"/>
    <w:rsid w:val="00B142EE"/>
    <w:rsid w:val="00B27851"/>
    <w:rsid w:val="00B42ADA"/>
    <w:rsid w:val="00B55ABB"/>
    <w:rsid w:val="00B82757"/>
    <w:rsid w:val="00BD36F4"/>
    <w:rsid w:val="00BE129D"/>
    <w:rsid w:val="00BF6982"/>
    <w:rsid w:val="00C86B38"/>
    <w:rsid w:val="00CA121E"/>
    <w:rsid w:val="00CB4750"/>
    <w:rsid w:val="00CE6888"/>
    <w:rsid w:val="00CE7DAD"/>
    <w:rsid w:val="00D41B20"/>
    <w:rsid w:val="00D74D2F"/>
    <w:rsid w:val="00DB3621"/>
    <w:rsid w:val="00DB5209"/>
    <w:rsid w:val="00E24699"/>
    <w:rsid w:val="00E7285C"/>
    <w:rsid w:val="00E85604"/>
    <w:rsid w:val="00F2319A"/>
    <w:rsid w:val="00F548E4"/>
    <w:rsid w:val="00F91961"/>
    <w:rsid w:val="00F934BF"/>
    <w:rsid w:val="00FA3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CD6B"/>
  <w15:chartTrackingRefBased/>
  <w15:docId w15:val="{9088F1A8-DDD2-4E10-B8C5-193E46EA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20B0"/>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3A1150"/>
    <w:pPr>
      <w:keepNext/>
      <w:numPr>
        <w:numId w:val="2"/>
      </w:numPr>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autoRedefine/>
    <w:unhideWhenUsed/>
    <w:qFormat/>
    <w:rsid w:val="003A1150"/>
    <w:pPr>
      <w:keepNext/>
      <w:keepLines/>
      <w:numPr>
        <w:ilvl w:val="1"/>
        <w:numId w:val="2"/>
      </w:numPr>
      <w:spacing w:before="240" w:after="120"/>
      <w:outlineLvl w:val="1"/>
    </w:pPr>
    <w:rPr>
      <w:rFonts w:asciiTheme="majorHAnsi" w:eastAsiaTheme="majorEastAsia" w:hAnsiTheme="majorHAnsi" w:cs="HelveticaNeue-Bold"/>
      <w:b/>
      <w:bCs/>
      <w:color w:val="000000" w:themeColor="text1"/>
      <w:sz w:val="26"/>
      <w:szCs w:val="26"/>
    </w:rPr>
  </w:style>
  <w:style w:type="paragraph" w:styleId="Titolo3">
    <w:name w:val="heading 3"/>
    <w:basedOn w:val="Normale"/>
    <w:next w:val="Normale"/>
    <w:link w:val="Titolo3Carattere"/>
    <w:autoRedefine/>
    <w:unhideWhenUsed/>
    <w:qFormat/>
    <w:rsid w:val="003A1150"/>
    <w:pPr>
      <w:keepNext/>
      <w:keepLines/>
      <w:numPr>
        <w:ilvl w:val="2"/>
        <w:numId w:val="2"/>
      </w:numPr>
      <w:spacing w:before="240" w:after="120"/>
      <w:jc w:val="both"/>
      <w:outlineLvl w:val="2"/>
    </w:pPr>
    <w:rPr>
      <w:rFonts w:ascii="Cambria" w:eastAsiaTheme="majorEastAsia" w:hAnsi="Cambria" w:cstheme="majorBidi"/>
      <w:color w:val="1F3763" w:themeColor="accent1" w:themeShade="7F"/>
      <w:sz w:val="24"/>
      <w:szCs w:val="24"/>
    </w:rPr>
  </w:style>
  <w:style w:type="paragraph" w:styleId="Titolo4">
    <w:name w:val="heading 4"/>
    <w:basedOn w:val="Normale"/>
    <w:next w:val="Normale"/>
    <w:link w:val="Titolo4Carattere"/>
    <w:qFormat/>
    <w:rsid w:val="003A1150"/>
    <w:pPr>
      <w:keepNext/>
      <w:numPr>
        <w:ilvl w:val="3"/>
        <w:numId w:val="2"/>
      </w:numPr>
      <w:spacing w:before="240" w:after="120"/>
      <w:jc w:val="both"/>
      <w:outlineLvl w:val="3"/>
    </w:pPr>
    <w:rPr>
      <w:rFonts w:ascii="Times New Roman" w:eastAsia="Times New Roman" w:hAnsi="Times New Roman" w:cs="Times New Roman"/>
      <w:i/>
      <w:sz w:val="23"/>
      <w:szCs w:val="20"/>
    </w:rPr>
  </w:style>
  <w:style w:type="paragraph" w:styleId="Titolo5">
    <w:name w:val="heading 5"/>
    <w:basedOn w:val="Normale"/>
    <w:next w:val="Normale"/>
    <w:link w:val="Titolo5Carattere"/>
    <w:qFormat/>
    <w:rsid w:val="003A1150"/>
    <w:pPr>
      <w:numPr>
        <w:ilvl w:val="4"/>
        <w:numId w:val="2"/>
      </w:numPr>
      <w:spacing w:before="240" w:after="120"/>
      <w:jc w:val="both"/>
      <w:outlineLvl w:val="4"/>
    </w:pPr>
    <w:rPr>
      <w:rFonts w:ascii="Times New Roman" w:eastAsia="Times New Roman" w:hAnsi="Times New Roman" w:cs="Times New Roman"/>
      <w:i/>
      <w:szCs w:val="20"/>
    </w:rPr>
  </w:style>
  <w:style w:type="paragraph" w:styleId="Titolo6">
    <w:name w:val="heading 6"/>
    <w:basedOn w:val="Normale"/>
    <w:next w:val="Normale"/>
    <w:link w:val="Titolo6Carattere"/>
    <w:qFormat/>
    <w:rsid w:val="003A1150"/>
    <w:pPr>
      <w:numPr>
        <w:ilvl w:val="5"/>
        <w:numId w:val="2"/>
      </w:numPr>
      <w:spacing w:before="240" w:after="120"/>
      <w:jc w:val="both"/>
      <w:outlineLvl w:val="5"/>
    </w:pPr>
    <w:rPr>
      <w:rFonts w:ascii="Times New Roman" w:eastAsia="Times New Roman" w:hAnsi="Times New Roman" w:cs="Times New Roman"/>
      <w:i/>
      <w:szCs w:val="20"/>
    </w:rPr>
  </w:style>
  <w:style w:type="paragraph" w:styleId="Titolo7">
    <w:name w:val="heading 7"/>
    <w:basedOn w:val="Normale"/>
    <w:next w:val="Normale"/>
    <w:link w:val="Titolo7Carattere"/>
    <w:qFormat/>
    <w:rsid w:val="003A1150"/>
    <w:pPr>
      <w:numPr>
        <w:ilvl w:val="6"/>
        <w:numId w:val="2"/>
      </w:numPr>
      <w:spacing w:before="240" w:after="120"/>
      <w:jc w:val="both"/>
      <w:outlineLvl w:val="6"/>
    </w:pPr>
    <w:rPr>
      <w:rFonts w:ascii="Times New Roman" w:eastAsia="Arial" w:hAnsi="Times New Roman" w:cs="Arial"/>
      <w:i/>
      <w:szCs w:val="20"/>
    </w:rPr>
  </w:style>
  <w:style w:type="paragraph" w:styleId="Titolo8">
    <w:name w:val="heading 8"/>
    <w:basedOn w:val="Normale"/>
    <w:next w:val="Normale"/>
    <w:link w:val="Titolo8Carattere"/>
    <w:qFormat/>
    <w:rsid w:val="003A1150"/>
    <w:pPr>
      <w:numPr>
        <w:ilvl w:val="7"/>
        <w:numId w:val="2"/>
      </w:numPr>
      <w:spacing w:before="240" w:after="120"/>
      <w:jc w:val="both"/>
      <w:outlineLvl w:val="7"/>
    </w:pPr>
    <w:rPr>
      <w:rFonts w:ascii="Times New Roman" w:eastAsia="Arial" w:hAnsi="Times New Roman" w:cs="Arial"/>
      <w:i/>
      <w:szCs w:val="20"/>
    </w:rPr>
  </w:style>
  <w:style w:type="paragraph" w:styleId="Titolo9">
    <w:name w:val="heading 9"/>
    <w:basedOn w:val="Normale"/>
    <w:next w:val="Normale"/>
    <w:link w:val="Titolo9Carattere"/>
    <w:qFormat/>
    <w:rsid w:val="003A1150"/>
    <w:pPr>
      <w:numPr>
        <w:ilvl w:val="8"/>
        <w:numId w:val="2"/>
      </w:numPr>
      <w:spacing w:before="240" w:after="120"/>
      <w:jc w:val="both"/>
      <w:outlineLvl w:val="8"/>
    </w:pPr>
    <w:rPr>
      <w:rFonts w:ascii="Times New Roman" w:eastAsia="Arial" w:hAnsi="Times New Roman" w:cs="Arial"/>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number,Footnote reference number,Footnote symbol,note TESI,-E Fußnotenzeichen,SUPERS,Footnote Reference Superscript,stylish,Odwołanie przypisu,Times 10 Point,Exposant 3 Point,Voetnootverwijzing,EN Footnote Reference,Ref"/>
    <w:basedOn w:val="Carpredefinitoparagrafo"/>
    <w:link w:val="FootnotesymbolCarZchn"/>
    <w:uiPriority w:val="99"/>
    <w:qFormat/>
    <w:rsid w:val="00BF698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rsid w:val="00BF6982"/>
    <w:pPr>
      <w:spacing w:after="160" w:line="240" w:lineRule="exact"/>
      <w:jc w:val="both"/>
    </w:pPr>
    <w:rPr>
      <w:rFonts w:asciiTheme="minorHAnsi" w:hAnsiTheme="minorHAnsi" w:cstheme="minorBidi"/>
      <w:vertAlign w:val="superscript"/>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Testo_not"/>
    <w:basedOn w:val="Normale"/>
    <w:link w:val="TestonotaapidipaginaCarattere"/>
    <w:uiPriority w:val="99"/>
    <w:qFormat/>
    <w:rsid w:val="00BF6982"/>
    <w:pPr>
      <w:jc w:val="both"/>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F6982"/>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A1150"/>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3A1150"/>
    <w:rPr>
      <w:rFonts w:asciiTheme="majorHAnsi" w:eastAsiaTheme="majorEastAsia" w:hAnsiTheme="majorHAnsi" w:cs="HelveticaNeue-Bold"/>
      <w:b/>
      <w:bCs/>
      <w:color w:val="000000" w:themeColor="text1"/>
      <w:sz w:val="26"/>
      <w:szCs w:val="26"/>
      <w:lang w:eastAsia="it-IT"/>
    </w:rPr>
  </w:style>
  <w:style w:type="character" w:customStyle="1" w:styleId="Titolo3Carattere">
    <w:name w:val="Titolo 3 Carattere"/>
    <w:basedOn w:val="Carpredefinitoparagrafo"/>
    <w:link w:val="Titolo3"/>
    <w:rsid w:val="003A1150"/>
    <w:rPr>
      <w:rFonts w:ascii="Cambria" w:eastAsiaTheme="majorEastAsia" w:hAnsi="Cambria" w:cstheme="majorBidi"/>
      <w:color w:val="1F3763" w:themeColor="accent1" w:themeShade="7F"/>
      <w:sz w:val="24"/>
      <w:szCs w:val="24"/>
      <w:lang w:eastAsia="it-IT"/>
    </w:rPr>
  </w:style>
  <w:style w:type="character" w:customStyle="1" w:styleId="Titolo4Carattere">
    <w:name w:val="Titolo 4 Carattere"/>
    <w:basedOn w:val="Carpredefinitoparagrafo"/>
    <w:link w:val="Titolo4"/>
    <w:rsid w:val="003A1150"/>
    <w:rPr>
      <w:rFonts w:ascii="Times New Roman" w:eastAsia="Times New Roman" w:hAnsi="Times New Roman" w:cs="Times New Roman"/>
      <w:i/>
      <w:sz w:val="23"/>
      <w:szCs w:val="20"/>
      <w:lang w:eastAsia="it-IT"/>
    </w:rPr>
  </w:style>
  <w:style w:type="character" w:customStyle="1" w:styleId="Titolo5Carattere">
    <w:name w:val="Titolo 5 Carattere"/>
    <w:basedOn w:val="Carpredefinitoparagrafo"/>
    <w:link w:val="Titolo5"/>
    <w:rsid w:val="003A1150"/>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3A1150"/>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3A1150"/>
    <w:rPr>
      <w:rFonts w:ascii="Times New Roman" w:eastAsia="Arial" w:hAnsi="Times New Roman" w:cs="Arial"/>
      <w:i/>
      <w:szCs w:val="20"/>
      <w:lang w:eastAsia="it-IT"/>
    </w:rPr>
  </w:style>
  <w:style w:type="character" w:customStyle="1" w:styleId="Titolo8Carattere">
    <w:name w:val="Titolo 8 Carattere"/>
    <w:basedOn w:val="Carpredefinitoparagrafo"/>
    <w:link w:val="Titolo8"/>
    <w:rsid w:val="003A1150"/>
    <w:rPr>
      <w:rFonts w:ascii="Times New Roman" w:eastAsia="Arial" w:hAnsi="Times New Roman" w:cs="Arial"/>
      <w:i/>
      <w:szCs w:val="20"/>
      <w:lang w:eastAsia="it-IT"/>
    </w:rPr>
  </w:style>
  <w:style w:type="character" w:customStyle="1" w:styleId="Titolo9Carattere">
    <w:name w:val="Titolo 9 Carattere"/>
    <w:basedOn w:val="Carpredefinitoparagrafo"/>
    <w:link w:val="Titolo9"/>
    <w:rsid w:val="003A1150"/>
    <w:rPr>
      <w:rFonts w:ascii="Times New Roman" w:eastAsia="Arial" w:hAnsi="Times New Roman" w:cs="Arial"/>
      <w:i/>
      <w:szCs w:val="20"/>
      <w:lang w:eastAsia="it-IT"/>
    </w:rPr>
  </w:style>
  <w:style w:type="character" w:styleId="Collegamentoipertestuale">
    <w:name w:val="Hyperlink"/>
    <w:uiPriority w:val="99"/>
    <w:unhideWhenUsed/>
    <w:rsid w:val="003A1150"/>
    <w:rPr>
      <w:color w:val="0563C1"/>
      <w:u w:val="single"/>
    </w:rPr>
  </w:style>
  <w:style w:type="paragraph" w:styleId="Paragrafoelenco">
    <w:name w:val="List Paragraph"/>
    <w:aliases w:val="Elenco puntato,Paragrafo elenco 2,Liste GS,List-1,Normale + Elenco puntato,bulletit taulukoissa,Odstavec1,HEADING 3,Paragrafo elenco3,Paragrafo elenco1,List Paragraph2,I Punto elenco,FooterText,Bullet List,numbered,列出段落,List Paragraph"/>
    <w:basedOn w:val="Normale"/>
    <w:link w:val="ParagrafoelencoCarattere"/>
    <w:uiPriority w:val="34"/>
    <w:qFormat/>
    <w:rsid w:val="003A1150"/>
    <w:pPr>
      <w:spacing w:after="240" w:line="276" w:lineRule="auto"/>
      <w:ind w:left="720"/>
      <w:contextualSpacing/>
      <w:jc w:val="both"/>
    </w:pPr>
    <w:rPr>
      <w:rFonts w:ascii="Arial" w:eastAsia="MS Mincho" w:hAnsi="Arial" w:cs="Times New Roman"/>
      <w:color w:val="3B3838"/>
      <w:sz w:val="24"/>
      <w:szCs w:val="24"/>
    </w:rPr>
  </w:style>
  <w:style w:type="character" w:customStyle="1" w:styleId="ParagrafoelencoCarattere">
    <w:name w:val="Paragrafo elenco Carattere"/>
    <w:aliases w:val="Elenco puntato Carattere,Paragrafo elenco 2 Carattere,Liste GS Carattere,List-1 Carattere,Normale + Elenco puntato Carattere,bulletit taulukoissa Carattere,Odstavec1 Carattere,HEADING 3 Carattere,Paragrafo elenco3 Carattere"/>
    <w:link w:val="Paragrafoelenco"/>
    <w:uiPriority w:val="34"/>
    <w:locked/>
    <w:rsid w:val="003A1150"/>
    <w:rPr>
      <w:rFonts w:ascii="Arial" w:eastAsia="MS Mincho" w:hAnsi="Arial" w:cs="Times New Roman"/>
      <w:color w:val="3B3838"/>
      <w:sz w:val="24"/>
      <w:szCs w:val="24"/>
      <w:lang w:eastAsia="it-IT"/>
    </w:rPr>
  </w:style>
  <w:style w:type="paragraph" w:styleId="Didascalia">
    <w:name w:val="caption"/>
    <w:aliases w:val="DIDASCALIE,Figure Caption,DNV-cap,DNV-cap1,DNV-cap2,Figure,topic,Fi,fig,Ca,ca,Figure-caption,Label,ASSET_caption,CAPTION,Figure-caption1,CAPTION1,Figure Caption1,Figure-caption2,CAPTION2,c,C,Beschriftung Char2 Char,Beschriftung Char1 Cha..."/>
    <w:basedOn w:val="Normale"/>
    <w:link w:val="DidascaliaCarattere"/>
    <w:uiPriority w:val="35"/>
    <w:unhideWhenUsed/>
    <w:qFormat/>
    <w:rsid w:val="003A1150"/>
    <w:pPr>
      <w:spacing w:before="120" w:after="120"/>
      <w:jc w:val="both"/>
    </w:pPr>
    <w:rPr>
      <w:rFonts w:ascii="Times New Roman" w:eastAsia="Times New Roman" w:hAnsi="Times New Roman" w:cs="Times New Roman"/>
      <w:b/>
      <w:bCs/>
      <w:sz w:val="18"/>
      <w:szCs w:val="18"/>
    </w:rPr>
  </w:style>
  <w:style w:type="character" w:customStyle="1" w:styleId="DidascaliaCarattere">
    <w:name w:val="Didascalia Carattere"/>
    <w:aliases w:val="DIDASCALIE Carattere,Figure Caption Carattere,DNV-cap Carattere,DNV-cap1 Carattere,DNV-cap2 Carattere,Figure Carattere,topic Carattere,Fi Carattere,fig Carattere,Ca Carattere,ca Carattere,Figure-caption Carattere,Label Carattere"/>
    <w:basedOn w:val="Carpredefinitoparagrafo"/>
    <w:link w:val="Didascalia"/>
    <w:uiPriority w:val="35"/>
    <w:rsid w:val="003A1150"/>
    <w:rPr>
      <w:rFonts w:ascii="Times New Roman" w:eastAsia="Times New Roman" w:hAnsi="Times New Roman" w:cs="Times New Roman"/>
      <w:b/>
      <w:bCs/>
      <w:sz w:val="18"/>
      <w:szCs w:val="18"/>
      <w:lang w:eastAsia="it-IT"/>
    </w:rPr>
  </w:style>
  <w:style w:type="paragraph" w:customStyle="1" w:styleId="PECtext">
    <w:name w:val="PEC text"/>
    <w:aliases w:val="Block"/>
    <w:link w:val="PECtextChar"/>
    <w:qFormat/>
    <w:rsid w:val="001931BA"/>
    <w:pPr>
      <w:spacing w:before="200" w:after="0" w:line="240" w:lineRule="auto"/>
    </w:pPr>
    <w:rPr>
      <w:rFonts w:eastAsia="Times New Roman" w:cs="Times New Roman"/>
      <w:lang w:val="en-GB"/>
    </w:rPr>
  </w:style>
  <w:style w:type="character" w:customStyle="1" w:styleId="PECtextChar">
    <w:name w:val="PEC text Char"/>
    <w:basedOn w:val="Carpredefinitoparagrafo"/>
    <w:link w:val="PECtext"/>
    <w:rsid w:val="001931BA"/>
    <w:rPr>
      <w:rFonts w:eastAsia="Times New Roman" w:cs="Times New Roman"/>
      <w:lang w:val="en-GB"/>
    </w:rPr>
  </w:style>
  <w:style w:type="paragraph" w:styleId="NormaleWeb">
    <w:name w:val="Normal (Web)"/>
    <w:basedOn w:val="Normale"/>
    <w:uiPriority w:val="99"/>
    <w:unhideWhenUsed/>
    <w:rsid w:val="0067421C"/>
    <w:pPr>
      <w:spacing w:before="100" w:beforeAutospacing="1" w:after="100" w:afterAutospacing="1"/>
    </w:pPr>
    <w:rPr>
      <w:rFonts w:ascii="Times New Roman" w:eastAsia="Times New Roman" w:hAnsi="Times New Roman" w:cs="Times New Roman"/>
      <w:sz w:val="24"/>
      <w:szCs w:val="24"/>
    </w:rPr>
  </w:style>
  <w:style w:type="paragraph" w:customStyle="1" w:styleId="PECText0">
    <w:name w:val="PEC Text"/>
    <w:basedOn w:val="Normale"/>
    <w:link w:val="PECTextChar0"/>
    <w:qFormat/>
    <w:rsid w:val="001F02CC"/>
    <w:pPr>
      <w:spacing w:before="200"/>
    </w:pPr>
    <w:rPr>
      <w:rFonts w:ascii="Arial" w:eastAsia="Times New Roman" w:hAnsi="Arial" w:cs="Times New Roman"/>
      <w:color w:val="000000"/>
      <w:lang w:val="en-GB" w:eastAsia="en-US"/>
    </w:rPr>
  </w:style>
  <w:style w:type="character" w:customStyle="1" w:styleId="PECTextChar0">
    <w:name w:val="PEC Text Char"/>
    <w:basedOn w:val="Carpredefinitoparagrafo"/>
    <w:link w:val="PECText0"/>
    <w:rsid w:val="001F02CC"/>
    <w:rPr>
      <w:rFonts w:ascii="Arial" w:eastAsia="Times New Roman" w:hAnsi="Arial" w:cs="Times New Roman"/>
      <w:color w:val="000000"/>
      <w:lang w:val="en-GB"/>
    </w:rPr>
  </w:style>
  <w:style w:type="character" w:styleId="Enfasigrassetto">
    <w:name w:val="Strong"/>
    <w:basedOn w:val="Carpredefinitoparagrafo"/>
    <w:uiPriority w:val="22"/>
    <w:qFormat/>
    <w:rsid w:val="00A918AA"/>
    <w:rPr>
      <w:b/>
      <w:bCs/>
    </w:rPr>
  </w:style>
  <w:style w:type="paragraph" w:styleId="Intestazione">
    <w:name w:val="header"/>
    <w:basedOn w:val="Normale"/>
    <w:link w:val="IntestazioneCarattere"/>
    <w:uiPriority w:val="99"/>
    <w:unhideWhenUsed/>
    <w:rsid w:val="00D74D2F"/>
    <w:pPr>
      <w:tabs>
        <w:tab w:val="center" w:pos="4819"/>
        <w:tab w:val="right" w:pos="9638"/>
      </w:tabs>
    </w:pPr>
  </w:style>
  <w:style w:type="character" w:customStyle="1" w:styleId="IntestazioneCarattere">
    <w:name w:val="Intestazione Carattere"/>
    <w:basedOn w:val="Carpredefinitoparagrafo"/>
    <w:link w:val="Intestazione"/>
    <w:uiPriority w:val="99"/>
    <w:rsid w:val="00D74D2F"/>
    <w:rPr>
      <w:rFonts w:ascii="Calibri" w:hAnsi="Calibri" w:cs="Calibri"/>
      <w:lang w:eastAsia="it-IT"/>
    </w:rPr>
  </w:style>
  <w:style w:type="paragraph" w:styleId="Pidipagina">
    <w:name w:val="footer"/>
    <w:basedOn w:val="Normale"/>
    <w:link w:val="PidipaginaCarattere"/>
    <w:uiPriority w:val="99"/>
    <w:unhideWhenUsed/>
    <w:rsid w:val="00D74D2F"/>
    <w:pPr>
      <w:tabs>
        <w:tab w:val="center" w:pos="4819"/>
        <w:tab w:val="right" w:pos="9638"/>
      </w:tabs>
    </w:pPr>
  </w:style>
  <w:style w:type="character" w:customStyle="1" w:styleId="PidipaginaCarattere">
    <w:name w:val="Piè di pagina Carattere"/>
    <w:basedOn w:val="Carpredefinitoparagrafo"/>
    <w:link w:val="Pidipagina"/>
    <w:uiPriority w:val="99"/>
    <w:rsid w:val="00D74D2F"/>
    <w:rPr>
      <w:rFonts w:ascii="Calibri" w:hAnsi="Calibri" w:cs="Calibri"/>
      <w:lang w:eastAsia="it-IT"/>
    </w:rPr>
  </w:style>
  <w:style w:type="paragraph" w:styleId="Revisione">
    <w:name w:val="Revision"/>
    <w:hidden/>
    <w:uiPriority w:val="99"/>
    <w:semiHidden/>
    <w:rsid w:val="00704995"/>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5614">
      <w:bodyDiv w:val="1"/>
      <w:marLeft w:val="0"/>
      <w:marRight w:val="0"/>
      <w:marTop w:val="0"/>
      <w:marBottom w:val="0"/>
      <w:divBdr>
        <w:top w:val="none" w:sz="0" w:space="0" w:color="auto"/>
        <w:left w:val="none" w:sz="0" w:space="0" w:color="auto"/>
        <w:bottom w:val="none" w:sz="0" w:space="0" w:color="auto"/>
        <w:right w:val="none" w:sz="0" w:space="0" w:color="auto"/>
      </w:divBdr>
    </w:div>
    <w:div w:id="1216237220">
      <w:bodyDiv w:val="1"/>
      <w:marLeft w:val="0"/>
      <w:marRight w:val="0"/>
      <w:marTop w:val="0"/>
      <w:marBottom w:val="0"/>
      <w:divBdr>
        <w:top w:val="none" w:sz="0" w:space="0" w:color="auto"/>
        <w:left w:val="none" w:sz="0" w:space="0" w:color="auto"/>
        <w:bottom w:val="none" w:sz="0" w:space="0" w:color="auto"/>
        <w:right w:val="none" w:sz="0" w:space="0" w:color="auto"/>
      </w:divBdr>
      <w:divsChild>
        <w:div w:id="630674299">
          <w:marLeft w:val="446"/>
          <w:marRight w:val="0"/>
          <w:marTop w:val="0"/>
          <w:marBottom w:val="0"/>
          <w:divBdr>
            <w:top w:val="none" w:sz="0" w:space="0" w:color="auto"/>
            <w:left w:val="none" w:sz="0" w:space="0" w:color="auto"/>
            <w:bottom w:val="none" w:sz="0" w:space="0" w:color="auto"/>
            <w:right w:val="none" w:sz="0" w:space="0" w:color="auto"/>
          </w:divBdr>
        </w:div>
      </w:divsChild>
    </w:div>
    <w:div w:id="1403285976">
      <w:bodyDiv w:val="1"/>
      <w:marLeft w:val="0"/>
      <w:marRight w:val="0"/>
      <w:marTop w:val="0"/>
      <w:marBottom w:val="0"/>
      <w:divBdr>
        <w:top w:val="none" w:sz="0" w:space="0" w:color="auto"/>
        <w:left w:val="none" w:sz="0" w:space="0" w:color="auto"/>
        <w:bottom w:val="none" w:sz="0" w:space="0" w:color="auto"/>
        <w:right w:val="none" w:sz="0" w:space="0" w:color="auto"/>
      </w:divBdr>
    </w:div>
    <w:div w:id="1587304125">
      <w:bodyDiv w:val="1"/>
      <w:marLeft w:val="0"/>
      <w:marRight w:val="0"/>
      <w:marTop w:val="0"/>
      <w:marBottom w:val="0"/>
      <w:divBdr>
        <w:top w:val="none" w:sz="0" w:space="0" w:color="auto"/>
        <w:left w:val="none" w:sz="0" w:space="0" w:color="auto"/>
        <w:bottom w:val="none" w:sz="0" w:space="0" w:color="auto"/>
        <w:right w:val="none" w:sz="0" w:space="0" w:color="auto"/>
      </w:divBdr>
    </w:div>
    <w:div w:id="1736853149">
      <w:bodyDiv w:val="1"/>
      <w:marLeft w:val="0"/>
      <w:marRight w:val="0"/>
      <w:marTop w:val="0"/>
      <w:marBottom w:val="0"/>
      <w:divBdr>
        <w:top w:val="none" w:sz="0" w:space="0" w:color="auto"/>
        <w:left w:val="none" w:sz="0" w:space="0" w:color="auto"/>
        <w:bottom w:val="none" w:sz="0" w:space="0" w:color="auto"/>
        <w:right w:val="none" w:sz="0" w:space="0" w:color="auto"/>
      </w:divBdr>
    </w:div>
    <w:div w:id="1976179254">
      <w:bodyDiv w:val="1"/>
      <w:marLeft w:val="0"/>
      <w:marRight w:val="0"/>
      <w:marTop w:val="0"/>
      <w:marBottom w:val="0"/>
      <w:divBdr>
        <w:top w:val="none" w:sz="0" w:space="0" w:color="auto"/>
        <w:left w:val="none" w:sz="0" w:space="0" w:color="auto"/>
        <w:bottom w:val="none" w:sz="0" w:space="0" w:color="auto"/>
        <w:right w:val="none" w:sz="0" w:space="0" w:color="auto"/>
      </w:divBdr>
    </w:div>
    <w:div w:id="20303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FF55</b:Tag>
    <b:SourceType>Report</b:SourceType>
    <b:Guid>{D44ECACC-5204-490A-A0C5-2333DFCE42A0}</b:Guid>
    <b:Author>
      <b:Author>
        <b:Corporate>Commissione Europea</b:Corporate>
      </b:Author>
    </b:Author>
    <b:Title>COM/2021/550 final - 'Fit for 55': delivering the EU's 2030 Climate Target on the way to climate neutrality</b:Title>
    <b:Year>2021</b:Year>
    <b:City>Bruxelles</b:City>
    <b:RefOrder>1</b:RefOrder>
  </b:Source>
  <b:Source>
    <b:Tag>21009850</b:Tag>
    <b:SourceType>Report</b:SourceType>
    <b:Guid>{AA167779-73EC-46E4-8623-C3144C0825CB}</b:Guid>
    <b:Title>Studi a supporto della Governance del sistema energetico nazionale</b:Title>
    <b:Year>2021</b:Year>
    <b:Publisher>RSE</b:Publisher>
    <b:City>Rapporto RDS n° 21009850</b:City>
    <b:Author>
      <b:Author>
        <b:Corporate>Maria Gaeta, Corine Nsangwe Businge, Federica Odifreddi, Laura Tagliabue, Fabio Lanati, Alberto Gelmini</b:Corporate>
      </b:Author>
    </b:Author>
    <b:RefOrder>2</b:RefOrder>
  </b:Source>
  <b:Source>
    <b:Tag>FER2030</b:Tag>
    <b:SourceType>Report</b:SourceType>
    <b:Guid>{59294986-16F9-4EB2-B053-30C74FFDF398}</b:Guid>
    <b:Title>Valutazioni sulla disponibilità di aree e indicatori di consumo di suolo per il parco di generazione fotovoltaica ed eolica ipotizzabile in scenari di policy al 2030</b:Title>
    <b:Year>2018</b:Year>
    <b:Publisher>RSE</b:Publisher>
    <b:City>Rapporto RDS n° 18008433</b:City>
    <b:Author>
      <b:Author>
        <b:NameList>
          <b:Person>
            <b:Last>Garofalo</b:Last>
            <b:First>Elisabetta</b:First>
          </b:Person>
          <b:Person>
            <b:Last>Lembo</b:Last>
            <b:First>Ettore</b:First>
          </b:Person>
          <b:Person>
            <b:Last>Airoldi</b:Last>
            <b:First>Davide</b:First>
          </b:Person>
        </b:NameList>
      </b:Author>
    </b:Author>
    <b:RefOrder>32</b:RefOrder>
  </b:Source>
  <b:Source>
    <b:Tag>TER21</b:Tag>
    <b:SourceType>Report</b:SourceType>
    <b:Guid>{3CC090A2-6078-46F0-8769-A55C22C5A8A8}</b:Guid>
    <b:Author>
      <b:Author>
        <b:Corporate>TERNA</b:Corporate>
      </b:Author>
    </b:Author>
    <b:Title>Piano di sviluppo 2021: Evoluzione Rinnovabile </b:Title>
    <b:Year>2021</b:Year>
    <b:Publisher>https://download.terna.it/terna/Evoluzione_Rinnovabile_8d940b10dc3be39.pdf</b:Publisher>
    <b:RefOrder>33</b:RefOrder>
  </b:Source>
</b:Sources>
</file>

<file path=customXml/itemProps1.xml><?xml version="1.0" encoding="utf-8"?>
<ds:datastoreItem xmlns:ds="http://schemas.openxmlformats.org/officeDocument/2006/customXml" ds:itemID="{00448C9B-011F-4F03-9463-01BF7DFD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Marchetti Barbara</dc:creator>
  <cp:keywords/>
  <dc:description/>
  <cp:lastModifiedBy>Cifone Alessia</cp:lastModifiedBy>
  <cp:revision>5</cp:revision>
  <dcterms:created xsi:type="dcterms:W3CDTF">2023-03-21T09:18:00Z</dcterms:created>
  <dcterms:modified xsi:type="dcterms:W3CDTF">2023-03-21T13:55:00Z</dcterms:modified>
</cp:coreProperties>
</file>